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95AA7" w14:textId="242ED672" w:rsidR="00E30291" w:rsidRPr="007C4E5D" w:rsidRDefault="00E30291" w:rsidP="354CD241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eastAsia="Batang" w:cs="Arial"/>
          <w:b/>
          <w:bCs/>
          <w:sz w:val="28"/>
          <w:szCs w:val="28"/>
        </w:rPr>
      </w:pPr>
      <w:r w:rsidRPr="007C4E5D">
        <w:rPr>
          <w:rFonts w:eastAsia="Batang" w:cs="Arial"/>
          <w:b/>
          <w:bCs/>
          <w:sz w:val="28"/>
          <w:szCs w:val="28"/>
        </w:rPr>
        <w:t>3GPP TSG RAN WG1 #10</w:t>
      </w:r>
      <w:r w:rsidR="00534B3E">
        <w:rPr>
          <w:rFonts w:eastAsia="Batang" w:cs="Arial"/>
          <w:b/>
          <w:bCs/>
          <w:sz w:val="28"/>
          <w:szCs w:val="28"/>
        </w:rPr>
        <w:t>5</w:t>
      </w:r>
      <w:r w:rsidRPr="007C4E5D">
        <w:rPr>
          <w:rFonts w:eastAsia="Batang" w:cs="Arial"/>
          <w:b/>
          <w:bCs/>
          <w:sz w:val="28"/>
          <w:szCs w:val="28"/>
        </w:rPr>
        <w:t>-e                                                       R1-</w:t>
      </w:r>
      <w:r w:rsidR="008955AA" w:rsidRPr="007C4E5D">
        <w:rPr>
          <w:rFonts w:eastAsia="Batang" w:cs="Arial"/>
          <w:b/>
          <w:bCs/>
          <w:sz w:val="28"/>
          <w:szCs w:val="28"/>
        </w:rPr>
        <w:t>2</w:t>
      </w:r>
      <w:r w:rsidR="008955AA">
        <w:rPr>
          <w:rFonts w:eastAsia="Batang" w:cs="Arial"/>
          <w:b/>
          <w:bCs/>
          <w:sz w:val="28"/>
          <w:szCs w:val="28"/>
        </w:rPr>
        <w:t>1</w:t>
      </w:r>
      <w:r w:rsidR="008955AA" w:rsidRPr="007C4E5D">
        <w:rPr>
          <w:rFonts w:eastAsia="Batang" w:cs="Arial"/>
          <w:b/>
          <w:bCs/>
          <w:sz w:val="28"/>
          <w:szCs w:val="28"/>
        </w:rPr>
        <w:t>0</w:t>
      </w:r>
      <w:r w:rsidR="008955AA">
        <w:rPr>
          <w:rFonts w:eastAsia="Batang" w:cs="Arial"/>
          <w:b/>
          <w:bCs/>
          <w:sz w:val="28"/>
          <w:szCs w:val="28"/>
        </w:rPr>
        <w:t>5671</w:t>
      </w:r>
    </w:p>
    <w:p w14:paraId="69D78637" w14:textId="00F07E2E" w:rsidR="00E30291" w:rsidRPr="00AC102C" w:rsidRDefault="00E30291" w:rsidP="354CD24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szCs w:val="28"/>
          <w:lang w:eastAsia="ja-JP"/>
        </w:rPr>
      </w:pPr>
      <w:r w:rsidRPr="007C4E5D">
        <w:rPr>
          <w:rFonts w:eastAsia="MS Mincho" w:cs="Arial"/>
          <w:b/>
          <w:bCs/>
          <w:sz w:val="28"/>
          <w:szCs w:val="28"/>
          <w:lang w:eastAsia="ja-JP"/>
        </w:rPr>
        <w:t xml:space="preserve">e-Meeting, </w:t>
      </w:r>
      <w:r w:rsidR="00534B3E">
        <w:rPr>
          <w:rFonts w:eastAsia="MS Mincho" w:cs="Arial"/>
          <w:b/>
          <w:bCs/>
          <w:sz w:val="28"/>
          <w:szCs w:val="28"/>
          <w:lang w:eastAsia="ja-JP"/>
        </w:rPr>
        <w:t>May 10</w:t>
      </w:r>
      <w:r w:rsidR="00534B3E" w:rsidRPr="00E74749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="00534B3E">
        <w:rPr>
          <w:rFonts w:eastAsia="MS Mincho" w:cs="Arial"/>
          <w:b/>
          <w:bCs/>
          <w:sz w:val="28"/>
          <w:szCs w:val="28"/>
          <w:lang w:eastAsia="ja-JP"/>
        </w:rPr>
        <w:t xml:space="preserve"> – 27</w:t>
      </w:r>
      <w:r w:rsidR="00534B3E" w:rsidRPr="00E74749">
        <w:rPr>
          <w:rFonts w:eastAsia="MS Mincho" w:cs="Arial"/>
          <w:b/>
          <w:bCs/>
          <w:sz w:val="28"/>
          <w:szCs w:val="28"/>
          <w:vertAlign w:val="superscript"/>
          <w:lang w:eastAsia="ja-JP"/>
        </w:rPr>
        <w:t>th</w:t>
      </w:r>
      <w:r w:rsidRPr="007C4E5D">
        <w:rPr>
          <w:rFonts w:eastAsia="MS Mincho" w:cs="Arial"/>
          <w:b/>
          <w:bCs/>
          <w:sz w:val="28"/>
          <w:szCs w:val="28"/>
          <w:lang w:eastAsia="ja-JP"/>
        </w:rPr>
        <w:t>, 202</w:t>
      </w:r>
      <w:r w:rsidR="00435BAC">
        <w:rPr>
          <w:rFonts w:eastAsia="MS Mincho" w:cs="Arial"/>
          <w:b/>
          <w:bCs/>
          <w:sz w:val="28"/>
          <w:szCs w:val="28"/>
          <w:lang w:eastAsia="ja-JP"/>
        </w:rPr>
        <w:t>1</w:t>
      </w:r>
    </w:p>
    <w:p w14:paraId="4AA55D4D" w14:textId="77777777" w:rsidR="00E30291" w:rsidRPr="00B414B8" w:rsidRDefault="00E30291" w:rsidP="00214E6A">
      <w:pPr>
        <w:pStyle w:val="3GPPHeader"/>
        <w:rPr>
          <w:sz w:val="22"/>
          <w:szCs w:val="22"/>
        </w:rPr>
      </w:pPr>
    </w:p>
    <w:p w14:paraId="7AD14354" w14:textId="2E8BF79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D91E82">
        <w:rPr>
          <w:sz w:val="22"/>
          <w:szCs w:val="22"/>
          <w:lang w:val="sv-SE"/>
        </w:rPr>
        <w:t>8.4.4</w:t>
      </w:r>
    </w:p>
    <w:p w14:paraId="4910E89F" w14:textId="77777777" w:rsidR="00214E6A" w:rsidRPr="00721025" w:rsidRDefault="00214E6A" w:rsidP="00214E6A">
      <w:pPr>
        <w:pStyle w:val="3GPPHeader"/>
        <w:rPr>
          <w:sz w:val="22"/>
          <w:szCs w:val="22"/>
          <w:lang w:val="en-US"/>
        </w:rPr>
      </w:pPr>
      <w:r w:rsidRPr="00721025">
        <w:rPr>
          <w:sz w:val="22"/>
          <w:szCs w:val="22"/>
          <w:lang w:val="en-US"/>
        </w:rPr>
        <w:t>Source:</w:t>
      </w:r>
      <w:r w:rsidRPr="00721025">
        <w:rPr>
          <w:sz w:val="22"/>
          <w:szCs w:val="22"/>
          <w:lang w:val="en-US"/>
        </w:rPr>
        <w:tab/>
        <w:t>InterDigital</w:t>
      </w:r>
    </w:p>
    <w:p w14:paraId="28B90663" w14:textId="3F561DBA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721025">
        <w:rPr>
          <w:sz w:val="22"/>
          <w:szCs w:val="22"/>
        </w:rPr>
        <w:t>On</w:t>
      </w:r>
      <w:r w:rsidR="00E30291">
        <w:rPr>
          <w:sz w:val="22"/>
          <w:szCs w:val="22"/>
        </w:rPr>
        <w:t xml:space="preserve"> beam management for NTN</w:t>
      </w:r>
    </w:p>
    <w:p w14:paraId="5D36C9A6" w14:textId="3106B6CB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</w:t>
      </w:r>
      <w:r w:rsidR="00D91E82">
        <w:rPr>
          <w:sz w:val="22"/>
          <w:szCs w:val="22"/>
        </w:rPr>
        <w:t xml:space="preserve"> and</w:t>
      </w:r>
      <w:r w:rsidR="00D91E82" w:rsidRPr="004A1A95">
        <w:rPr>
          <w:sz w:val="22"/>
          <w:szCs w:val="22"/>
        </w:rPr>
        <w:t xml:space="preserve"> </w:t>
      </w:r>
      <w:r w:rsidRPr="004A1A95">
        <w:rPr>
          <w:sz w:val="22"/>
          <w:szCs w:val="22"/>
        </w:rPr>
        <w:t>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B14710A" w14:textId="227C0D11" w:rsidR="008F5A4A" w:rsidRDefault="008F5A4A" w:rsidP="00001445">
      <w:pPr>
        <w:spacing w:line="276" w:lineRule="auto"/>
        <w:rPr>
          <w:rFonts w:cs="Arial"/>
          <w:sz w:val="22"/>
          <w:szCs w:val="22"/>
        </w:rPr>
      </w:pPr>
      <w:bookmarkStart w:id="0" w:name="_Hlk528874692"/>
      <w:r>
        <w:rPr>
          <w:rFonts w:cs="Arial"/>
          <w:sz w:val="22"/>
          <w:szCs w:val="22"/>
        </w:rPr>
        <w:t xml:space="preserve">In RAN1 </w:t>
      </w:r>
      <w:r w:rsidR="0025073D">
        <w:rPr>
          <w:rFonts w:cs="Arial"/>
          <w:sz w:val="22"/>
          <w:szCs w:val="22"/>
        </w:rPr>
        <w:t>#102e-#104e</w:t>
      </w:r>
      <w:r>
        <w:rPr>
          <w:rFonts w:cs="Arial"/>
          <w:sz w:val="22"/>
          <w:szCs w:val="22"/>
        </w:rPr>
        <w:t>, the following agreement</w:t>
      </w:r>
      <w:r w:rsidR="0025073D">
        <w:rPr>
          <w:rFonts w:cs="Arial"/>
          <w:sz w:val="22"/>
          <w:szCs w:val="22"/>
        </w:rPr>
        <w:t>s</w:t>
      </w:r>
      <w:r>
        <w:rPr>
          <w:rFonts w:cs="Arial"/>
          <w:sz w:val="22"/>
          <w:szCs w:val="22"/>
        </w:rPr>
        <w:t xml:space="preserve"> ha</w:t>
      </w:r>
      <w:r w:rsidR="0025073D">
        <w:rPr>
          <w:rFonts w:cs="Arial"/>
          <w:sz w:val="22"/>
          <w:szCs w:val="22"/>
        </w:rPr>
        <w:t>ve</w:t>
      </w:r>
      <w:r>
        <w:rPr>
          <w:rFonts w:cs="Arial"/>
          <w:sz w:val="22"/>
          <w:szCs w:val="22"/>
        </w:rPr>
        <w:t xml:space="preserve"> been made as a progress for beam management and polarization with frequency reuse:</w:t>
      </w:r>
    </w:p>
    <w:p w14:paraId="3E4053F0" w14:textId="44E0F5A1" w:rsidR="0025073D" w:rsidRDefault="0025073D" w:rsidP="00E74749">
      <w:pPr>
        <w:spacing w:after="0"/>
        <w:rPr>
          <w:rFonts w:cs="Arial"/>
          <w:sz w:val="22"/>
          <w:szCs w:val="22"/>
        </w:rPr>
      </w:pPr>
    </w:p>
    <w:p w14:paraId="20D949C8" w14:textId="0C0DFE76" w:rsidR="0025073D" w:rsidRDefault="0025073D" w:rsidP="00E74749">
      <w:pPr>
        <w:spacing w:after="0"/>
        <w:rPr>
          <w:i/>
          <w:iCs/>
          <w:highlight w:val="green"/>
          <w:lang w:eastAsia="x-none"/>
        </w:rPr>
      </w:pPr>
      <w:r w:rsidRPr="00E74749">
        <w:rPr>
          <w:rFonts w:cs="Arial"/>
          <w:b/>
          <w:bCs/>
          <w:sz w:val="22"/>
          <w:szCs w:val="22"/>
          <w:u w:val="single"/>
        </w:rPr>
        <w:t>RAN1 #102e</w:t>
      </w:r>
    </w:p>
    <w:p w14:paraId="47E03CC3" w14:textId="3118D612" w:rsidR="008F5A4A" w:rsidRPr="007C4E5D" w:rsidRDefault="008F5A4A" w:rsidP="00E74749">
      <w:pPr>
        <w:spacing w:after="0"/>
        <w:rPr>
          <w:i/>
          <w:iCs/>
          <w:lang w:eastAsia="x-none"/>
        </w:rPr>
      </w:pPr>
      <w:r w:rsidRPr="007C4E5D">
        <w:rPr>
          <w:i/>
          <w:iCs/>
          <w:highlight w:val="green"/>
          <w:lang w:eastAsia="x-none"/>
        </w:rPr>
        <w:t>Agreement:</w:t>
      </w:r>
    </w:p>
    <w:p w14:paraId="0087EDAB" w14:textId="77777777" w:rsidR="008F5A4A" w:rsidRPr="007C4E5D" w:rsidRDefault="008F5A4A" w:rsidP="00E74749">
      <w:pPr>
        <w:spacing w:after="0"/>
        <w:rPr>
          <w:i/>
          <w:iCs/>
          <w:lang w:eastAsia="x-none"/>
        </w:rPr>
      </w:pPr>
      <w:r w:rsidRPr="007C4E5D">
        <w:rPr>
          <w:i/>
          <w:iCs/>
          <w:lang w:eastAsia="x-none"/>
        </w:rPr>
        <w:t>One-beam per cell and multiple-beam per cell are supported in existing NR specifications and are baseline for NR NTN.</w:t>
      </w:r>
    </w:p>
    <w:p w14:paraId="79B57104" w14:textId="77777777" w:rsidR="008F5A4A" w:rsidRPr="007C4E5D" w:rsidRDefault="008F5A4A" w:rsidP="00534B3E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lang w:eastAsia="x-none"/>
        </w:rPr>
      </w:pPr>
      <w:r w:rsidRPr="007C4E5D">
        <w:rPr>
          <w:i/>
          <w:iCs/>
          <w:lang w:eastAsia="x-none"/>
        </w:rPr>
        <w:t xml:space="preserve">FFS: The need for potential enhancement for beam management </w:t>
      </w:r>
    </w:p>
    <w:p w14:paraId="40BD93A0" w14:textId="77777777" w:rsidR="008F5A4A" w:rsidRPr="007C4E5D" w:rsidRDefault="008F5A4A" w:rsidP="00E74749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lang w:eastAsia="x-none"/>
        </w:rPr>
      </w:pPr>
      <w:r w:rsidRPr="007C4E5D">
        <w:rPr>
          <w:i/>
          <w:iCs/>
          <w:lang w:eastAsia="x-none"/>
        </w:rPr>
        <w:t>FFS: The need for potential enhancement on association of SSBs, beams and BWPs</w:t>
      </w:r>
    </w:p>
    <w:p w14:paraId="43D5392A" w14:textId="77777777" w:rsidR="008F5A4A" w:rsidRPr="007C4E5D" w:rsidRDefault="008F5A4A" w:rsidP="00E74749">
      <w:pPr>
        <w:spacing w:after="0"/>
        <w:rPr>
          <w:i/>
          <w:iCs/>
          <w:lang w:eastAsia="x-none"/>
        </w:rPr>
      </w:pPr>
    </w:p>
    <w:p w14:paraId="65FEEA81" w14:textId="77777777" w:rsidR="008F5A4A" w:rsidRPr="007C4E5D" w:rsidRDefault="008F5A4A" w:rsidP="00E74749">
      <w:pPr>
        <w:spacing w:after="0"/>
        <w:rPr>
          <w:i/>
          <w:iCs/>
          <w:lang w:eastAsia="x-none"/>
        </w:rPr>
      </w:pPr>
      <w:r w:rsidRPr="007C4E5D">
        <w:rPr>
          <w:i/>
          <w:iCs/>
          <w:highlight w:val="green"/>
          <w:lang w:eastAsia="x-none"/>
        </w:rPr>
        <w:t>Agreement:</w:t>
      </w:r>
    </w:p>
    <w:p w14:paraId="7F77466E" w14:textId="77777777" w:rsidR="008F5A4A" w:rsidRPr="007C4E5D" w:rsidRDefault="008F5A4A" w:rsidP="00E74749">
      <w:pPr>
        <w:spacing w:after="0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>Potential enhancements for support of polarisation signalling in NR NTN can consider at least the following:</w:t>
      </w:r>
    </w:p>
    <w:p w14:paraId="1DD5D58F" w14:textId="77777777" w:rsidR="008F5A4A" w:rsidRPr="007C4E5D" w:rsidRDefault="008F5A4A" w:rsidP="00534B3E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 xml:space="preserve">Configuration of DL and UL transmit polarization including Right hand and </w:t>
      </w:r>
      <w:proofErr w:type="gramStart"/>
      <w:r w:rsidRPr="007C4E5D">
        <w:rPr>
          <w:bCs/>
          <w:i/>
          <w:iCs/>
          <w:lang w:eastAsia="x-none"/>
        </w:rPr>
        <w:t>Left hand</w:t>
      </w:r>
      <w:proofErr w:type="gramEnd"/>
      <w:r w:rsidRPr="007C4E5D">
        <w:rPr>
          <w:bCs/>
          <w:i/>
          <w:iCs/>
          <w:lang w:eastAsia="x-none"/>
        </w:rPr>
        <w:t xml:space="preserve"> circular polarizations (RHCP, LHCP) </w:t>
      </w:r>
    </w:p>
    <w:p w14:paraId="2F6EA27F" w14:textId="77777777" w:rsidR="008F5A4A" w:rsidRPr="007C4E5D" w:rsidRDefault="008F5A4A" w:rsidP="00E7474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 xml:space="preserve">Network broadcast DL and UL transmit polarization configuration  </w:t>
      </w:r>
    </w:p>
    <w:p w14:paraId="425CA9EB" w14:textId="77777777" w:rsidR="008F5A4A" w:rsidRPr="007C4E5D" w:rsidRDefault="008F5A4A" w:rsidP="00E7474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>UE polarization capability (RHCP, LHCP, Linear)</w:t>
      </w:r>
    </w:p>
    <w:p w14:paraId="77EF76A8" w14:textId="77777777" w:rsidR="008F5A4A" w:rsidRPr="007C4E5D" w:rsidRDefault="008F5A4A" w:rsidP="00E74749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 xml:space="preserve">Dependence of polarisation </w:t>
      </w:r>
      <w:proofErr w:type="spellStart"/>
      <w:r w:rsidRPr="007C4E5D">
        <w:rPr>
          <w:bCs/>
          <w:i/>
          <w:iCs/>
          <w:lang w:eastAsia="x-none"/>
        </w:rPr>
        <w:t>signaling</w:t>
      </w:r>
      <w:proofErr w:type="spellEnd"/>
      <w:r w:rsidRPr="007C4E5D">
        <w:rPr>
          <w:bCs/>
          <w:i/>
          <w:iCs/>
          <w:lang w:eastAsia="x-none"/>
        </w:rPr>
        <w:t xml:space="preserve"> on deployment scenarios. For example,</w:t>
      </w:r>
    </w:p>
    <w:p w14:paraId="38A80684" w14:textId="77777777" w:rsidR="008F5A4A" w:rsidRPr="007C4E5D" w:rsidRDefault="008F5A4A" w:rsidP="00E7474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 xml:space="preserve">Resource reuse mode with/without polarization for the beam management enhancement </w:t>
      </w:r>
    </w:p>
    <w:p w14:paraId="210EB69E" w14:textId="77777777" w:rsidR="008F5A4A" w:rsidRPr="007C4E5D" w:rsidRDefault="008F5A4A" w:rsidP="00E74749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bCs/>
          <w:i/>
          <w:iCs/>
          <w:lang w:eastAsia="x-none"/>
        </w:rPr>
      </w:pPr>
      <w:r w:rsidRPr="007C4E5D">
        <w:rPr>
          <w:bCs/>
          <w:i/>
          <w:iCs/>
          <w:lang w:eastAsia="x-none"/>
        </w:rPr>
        <w:t xml:space="preserve">Fixed polarization per cell/beam for polarization reuse and circular polarisation with intra-UE and inter-UE multiplexing (intra-UE and inter-UE) signalling </w:t>
      </w:r>
    </w:p>
    <w:p w14:paraId="178B49C3" w14:textId="4EFC6AF2" w:rsidR="008F5A4A" w:rsidRDefault="008F5A4A" w:rsidP="00E74749">
      <w:pPr>
        <w:spacing w:after="0"/>
        <w:rPr>
          <w:rFonts w:cs="Arial"/>
          <w:sz w:val="22"/>
          <w:szCs w:val="22"/>
        </w:rPr>
      </w:pPr>
    </w:p>
    <w:p w14:paraId="60809B32" w14:textId="1C5B9CEE" w:rsidR="0025073D" w:rsidRDefault="0025073D" w:rsidP="00E74749">
      <w:pPr>
        <w:spacing w:after="0"/>
        <w:rPr>
          <w:rFonts w:cs="Arial"/>
          <w:sz w:val="22"/>
          <w:szCs w:val="22"/>
        </w:rPr>
      </w:pPr>
      <w:r w:rsidRPr="008A175D">
        <w:rPr>
          <w:rFonts w:cs="Arial"/>
          <w:b/>
          <w:bCs/>
          <w:sz w:val="22"/>
          <w:szCs w:val="22"/>
          <w:u w:val="single"/>
        </w:rPr>
        <w:t>RAN1 #10</w:t>
      </w:r>
      <w:r>
        <w:rPr>
          <w:rFonts w:cs="Arial"/>
          <w:b/>
          <w:bCs/>
          <w:sz w:val="22"/>
          <w:szCs w:val="22"/>
          <w:u w:val="single"/>
        </w:rPr>
        <w:t>3</w:t>
      </w:r>
      <w:r w:rsidRPr="008A175D">
        <w:rPr>
          <w:rFonts w:cs="Arial"/>
          <w:b/>
          <w:bCs/>
          <w:sz w:val="22"/>
          <w:szCs w:val="22"/>
          <w:u w:val="single"/>
        </w:rPr>
        <w:t>e</w:t>
      </w:r>
    </w:p>
    <w:p w14:paraId="31F02AD7" w14:textId="77777777" w:rsidR="00B414B8" w:rsidRPr="00B414B8" w:rsidRDefault="00B414B8" w:rsidP="00E74749">
      <w:pPr>
        <w:spacing w:after="0"/>
        <w:rPr>
          <w:i/>
          <w:iCs/>
          <w:lang w:eastAsia="x-none"/>
        </w:rPr>
      </w:pPr>
      <w:r w:rsidRPr="00B414B8">
        <w:rPr>
          <w:i/>
          <w:iCs/>
          <w:highlight w:val="green"/>
          <w:lang w:eastAsia="x-none"/>
        </w:rPr>
        <w:t>Agreement:</w:t>
      </w:r>
    </w:p>
    <w:p w14:paraId="65A841E3" w14:textId="77777777" w:rsidR="00B414B8" w:rsidRPr="00B414B8" w:rsidRDefault="00B414B8" w:rsidP="00E74749">
      <w:pPr>
        <w:spacing w:after="0"/>
        <w:rPr>
          <w:i/>
          <w:iCs/>
          <w:lang w:eastAsia="x-none"/>
        </w:rPr>
      </w:pPr>
      <w:r w:rsidRPr="00B414B8">
        <w:rPr>
          <w:i/>
          <w:iCs/>
          <w:lang w:eastAsia="x-none"/>
        </w:rPr>
        <w:t xml:space="preserve">Indication of polarization information for DL and UL by the network is supported. </w:t>
      </w:r>
    </w:p>
    <w:p w14:paraId="02F47BC2" w14:textId="77777777" w:rsidR="00B414B8" w:rsidRPr="00B414B8" w:rsidRDefault="00B414B8" w:rsidP="00534B3E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lang w:eastAsia="x-none"/>
        </w:rPr>
      </w:pPr>
      <w:r w:rsidRPr="00B414B8">
        <w:rPr>
          <w:i/>
          <w:iCs/>
          <w:lang w:eastAsia="x-none"/>
        </w:rPr>
        <w:t xml:space="preserve">FFS: </w:t>
      </w:r>
      <w:proofErr w:type="spellStart"/>
      <w:r w:rsidRPr="00B414B8">
        <w:rPr>
          <w:i/>
          <w:iCs/>
          <w:lang w:eastAsia="x-none"/>
        </w:rPr>
        <w:t>Signaling</w:t>
      </w:r>
      <w:proofErr w:type="spellEnd"/>
      <w:r w:rsidRPr="00B414B8">
        <w:rPr>
          <w:i/>
          <w:iCs/>
          <w:lang w:eastAsia="x-none"/>
        </w:rPr>
        <w:t xml:space="preserve"> details</w:t>
      </w:r>
    </w:p>
    <w:p w14:paraId="33D949C7" w14:textId="7B638C82" w:rsidR="00B414B8" w:rsidRDefault="00B414B8" w:rsidP="00E74749">
      <w:pPr>
        <w:spacing w:after="0"/>
        <w:rPr>
          <w:rFonts w:cs="Arial"/>
          <w:sz w:val="22"/>
          <w:szCs w:val="22"/>
        </w:rPr>
      </w:pPr>
    </w:p>
    <w:p w14:paraId="35125542" w14:textId="68689EA6" w:rsidR="0025073D" w:rsidRDefault="0025073D" w:rsidP="00E74749">
      <w:pPr>
        <w:spacing w:after="0"/>
        <w:rPr>
          <w:rFonts w:cs="Arial"/>
          <w:sz w:val="22"/>
          <w:szCs w:val="22"/>
        </w:rPr>
      </w:pPr>
      <w:r w:rsidRPr="008A175D">
        <w:rPr>
          <w:rFonts w:cs="Arial"/>
          <w:b/>
          <w:bCs/>
          <w:sz w:val="22"/>
          <w:szCs w:val="22"/>
          <w:u w:val="single"/>
        </w:rPr>
        <w:t>RAN1 #10</w:t>
      </w:r>
      <w:r>
        <w:rPr>
          <w:rFonts w:cs="Arial"/>
          <w:b/>
          <w:bCs/>
          <w:sz w:val="22"/>
          <w:szCs w:val="22"/>
          <w:u w:val="single"/>
        </w:rPr>
        <w:t>4</w:t>
      </w:r>
      <w:r w:rsidRPr="008A175D">
        <w:rPr>
          <w:rFonts w:cs="Arial"/>
          <w:b/>
          <w:bCs/>
          <w:sz w:val="22"/>
          <w:szCs w:val="22"/>
          <w:u w:val="single"/>
        </w:rPr>
        <w:t>e</w:t>
      </w:r>
    </w:p>
    <w:p w14:paraId="5491CA8A" w14:textId="77777777" w:rsidR="0025073D" w:rsidRPr="00E74749" w:rsidRDefault="0025073D" w:rsidP="00E74749">
      <w:pPr>
        <w:spacing w:after="0"/>
        <w:rPr>
          <w:rFonts w:eastAsia="Malgun Gothic" w:cs="Arial"/>
          <w:bCs/>
          <w:i/>
          <w:iCs/>
          <w:color w:val="000000"/>
          <w:lang w:eastAsia="ko-KR"/>
        </w:rPr>
      </w:pPr>
      <w:r w:rsidRPr="00E74749">
        <w:rPr>
          <w:rFonts w:eastAsia="Malgun Gothic" w:cs="Arial"/>
          <w:bCs/>
          <w:i/>
          <w:iCs/>
          <w:color w:val="000000"/>
          <w:highlight w:val="green"/>
          <w:lang w:eastAsia="ko-KR"/>
        </w:rPr>
        <w:t>Agreement:</w:t>
      </w:r>
    </w:p>
    <w:p w14:paraId="7813F296" w14:textId="77777777" w:rsidR="0025073D" w:rsidRPr="00E74749" w:rsidRDefault="0025073D" w:rsidP="00E74749">
      <w:pPr>
        <w:spacing w:after="0"/>
        <w:rPr>
          <w:rFonts w:cs="Arial"/>
          <w:i/>
          <w:iCs/>
          <w:color w:val="000000"/>
        </w:rPr>
      </w:pPr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Support </w:t>
      </w:r>
      <w:r w:rsidRPr="00E74749">
        <w:rPr>
          <w:rFonts w:eastAsia="Malgun Gothic" w:cs="Arial"/>
          <w:i/>
          <w:iCs/>
          <w:color w:val="000000"/>
          <w:lang w:eastAsia="ko-KR"/>
        </w:rPr>
        <w:t>at least</w:t>
      </w:r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 explicit indication of polarization information for DL by the network</w:t>
      </w:r>
    </w:p>
    <w:p w14:paraId="304E5842" w14:textId="77777777" w:rsidR="0025073D" w:rsidRPr="00E74749" w:rsidRDefault="0025073D" w:rsidP="00534B3E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/>
          <w:iCs/>
        </w:rPr>
      </w:pPr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FFS: whether the indication is done by SIB, other RRC </w:t>
      </w:r>
      <w:proofErr w:type="spellStart"/>
      <w:r w:rsidRPr="00E74749">
        <w:rPr>
          <w:rFonts w:eastAsia="Malgun Gothic" w:cs="Arial"/>
          <w:bCs/>
          <w:i/>
          <w:iCs/>
          <w:color w:val="000000"/>
          <w:lang w:eastAsia="ko-KR"/>
        </w:rPr>
        <w:t>signaling</w:t>
      </w:r>
      <w:proofErr w:type="spellEnd"/>
      <w:r w:rsidRPr="00E74749">
        <w:rPr>
          <w:rFonts w:eastAsia="Malgun Gothic" w:cs="Arial"/>
          <w:bCs/>
          <w:i/>
          <w:iCs/>
          <w:color w:val="000000"/>
          <w:lang w:eastAsia="ko-KR"/>
        </w:rPr>
        <w:t>, DCI</w:t>
      </w:r>
      <w:r w:rsidRPr="00E74749">
        <w:rPr>
          <w:rFonts w:eastAsia="Malgun Gothic" w:cs="Arial"/>
          <w:bCs/>
          <w:i/>
          <w:iCs/>
          <w:lang w:eastAsia="ko-KR"/>
        </w:rPr>
        <w:t>.</w:t>
      </w:r>
    </w:p>
    <w:p w14:paraId="489CA7E1" w14:textId="77777777" w:rsidR="0025073D" w:rsidRPr="00E74749" w:rsidRDefault="0025073D" w:rsidP="00E74749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i/>
          <w:iCs/>
          <w:color w:val="000000"/>
        </w:rPr>
      </w:pPr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FFS: Whether separate </w:t>
      </w:r>
      <w:proofErr w:type="spellStart"/>
      <w:r w:rsidRPr="00E74749">
        <w:rPr>
          <w:rFonts w:eastAsia="Malgun Gothic" w:cs="Arial"/>
          <w:bCs/>
          <w:i/>
          <w:iCs/>
          <w:color w:val="000000"/>
          <w:lang w:eastAsia="ko-KR"/>
        </w:rPr>
        <w:t>signaling</w:t>
      </w:r>
      <w:proofErr w:type="spellEnd"/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 is needed for the UL</w:t>
      </w:r>
      <w:r w:rsidRPr="00E74749">
        <w:rPr>
          <w:rFonts w:cs="Arial"/>
          <w:i/>
          <w:iCs/>
          <w:color w:val="000000"/>
        </w:rPr>
        <w:t xml:space="preserve"> and if so, </w:t>
      </w:r>
      <w:proofErr w:type="gramStart"/>
      <w:r w:rsidRPr="00E74749">
        <w:rPr>
          <w:rFonts w:eastAsia="Malgun Gothic" w:cs="Arial"/>
          <w:bCs/>
          <w:i/>
          <w:iCs/>
          <w:color w:val="000000"/>
          <w:lang w:eastAsia="ko-KR"/>
        </w:rPr>
        <w:t>whether or not</w:t>
      </w:r>
      <w:proofErr w:type="gramEnd"/>
      <w:r w:rsidRPr="00E74749">
        <w:rPr>
          <w:rFonts w:eastAsia="Malgun Gothic" w:cs="Arial"/>
          <w:bCs/>
          <w:i/>
          <w:iCs/>
          <w:color w:val="000000"/>
          <w:lang w:eastAsia="ko-KR"/>
        </w:rPr>
        <w:t xml:space="preserve"> a same polarization is indicated for DL and UL</w:t>
      </w:r>
    </w:p>
    <w:p w14:paraId="3CE13CA7" w14:textId="77777777" w:rsidR="0025073D" w:rsidRPr="00E74749" w:rsidRDefault="0025073D" w:rsidP="00E74749">
      <w:pPr>
        <w:spacing w:after="0"/>
        <w:rPr>
          <w:i/>
          <w:iCs/>
          <w:lang w:eastAsia="x-none"/>
        </w:rPr>
      </w:pPr>
    </w:p>
    <w:p w14:paraId="27E0AB4F" w14:textId="77777777" w:rsidR="0025073D" w:rsidRPr="00E74749" w:rsidRDefault="0025073D" w:rsidP="00E74749">
      <w:pPr>
        <w:shd w:val="clear" w:color="auto" w:fill="FFFFFF"/>
        <w:spacing w:after="0"/>
        <w:rPr>
          <w:rFonts w:eastAsia="SimSun"/>
          <w:i/>
          <w:iCs/>
          <w:color w:val="000000"/>
          <w:u w:val="single"/>
          <w:lang w:val="en-US"/>
        </w:rPr>
      </w:pPr>
      <w:r w:rsidRPr="00E74749">
        <w:rPr>
          <w:rFonts w:eastAsia="SimSun"/>
          <w:i/>
          <w:iCs/>
          <w:color w:val="000000"/>
          <w:u w:val="single"/>
          <w:lang w:val="en-US"/>
        </w:rPr>
        <w:t>Conclusion:</w:t>
      </w:r>
    </w:p>
    <w:p w14:paraId="7118CAF7" w14:textId="77777777" w:rsidR="0025073D" w:rsidRPr="00E74749" w:rsidRDefault="0025073D" w:rsidP="00E74749">
      <w:pPr>
        <w:shd w:val="clear" w:color="auto" w:fill="FFFFFF"/>
        <w:spacing w:after="0"/>
        <w:rPr>
          <w:rFonts w:eastAsia="SimSun"/>
          <w:i/>
          <w:iCs/>
          <w:color w:val="000000"/>
          <w:lang w:val="en-US"/>
        </w:rPr>
      </w:pPr>
      <w:r w:rsidRPr="00E74749">
        <w:rPr>
          <w:rFonts w:eastAsia="SimSun"/>
          <w:i/>
          <w:iCs/>
          <w:color w:val="000000"/>
        </w:rPr>
        <w:t>Discuss </w:t>
      </w:r>
      <w:proofErr w:type="gramStart"/>
      <w:r w:rsidRPr="00E74749">
        <w:rPr>
          <w:rFonts w:eastAsia="SimSun"/>
          <w:i/>
          <w:iCs/>
          <w:color w:val="000000"/>
        </w:rPr>
        <w:t>whether or not</w:t>
      </w:r>
      <w:proofErr w:type="gramEnd"/>
      <w:r w:rsidRPr="00E74749">
        <w:rPr>
          <w:rFonts w:eastAsia="SimSun"/>
          <w:i/>
          <w:iCs/>
          <w:color w:val="FF0000"/>
        </w:rPr>
        <w:t xml:space="preserve"> </w:t>
      </w:r>
      <w:r w:rsidRPr="00E74749">
        <w:rPr>
          <w:rFonts w:eastAsia="SimSun"/>
          <w:i/>
          <w:iCs/>
        </w:rPr>
        <w:t>at least</w:t>
      </w:r>
      <w:r w:rsidRPr="00E74749">
        <w:rPr>
          <w:rFonts w:eastAsia="SimSun"/>
          <w:i/>
          <w:iCs/>
          <w:color w:val="FF0000"/>
        </w:rPr>
        <w:t> </w:t>
      </w:r>
      <w:r w:rsidRPr="00E74749">
        <w:rPr>
          <w:rFonts w:eastAsia="SimSun"/>
          <w:i/>
          <w:iCs/>
          <w:color w:val="000000"/>
        </w:rPr>
        <w:t>following issues are valid and decide whether or not enhancements are needed in addition to current NR specification for supporting NTN beam management:</w:t>
      </w:r>
    </w:p>
    <w:p w14:paraId="5F2F5AB1" w14:textId="77777777" w:rsidR="0025073D" w:rsidRPr="00E74749" w:rsidRDefault="0025073D" w:rsidP="00534B3E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>Issue 1: NR BWP is not directly associated with a beam. Thus, when using TCI to change beam from beam 1 to beam 2, it does not trigger NR BWP switching. However, in NTN FRF&gt;1 case, beam switching may result in a BWP switching.</w:t>
      </w:r>
    </w:p>
    <w:p w14:paraId="36B726F9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>Issue 2: NR BWP switching in UL and DL are not jointly triggered for FDD. However, in NTN FRF&gt;1 FDD scenario, beam switching may result in a BWP switching in both DL and UL.</w:t>
      </w:r>
    </w:p>
    <w:p w14:paraId="2B5EDCCD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lastRenderedPageBreak/>
        <w:t>Issue 3: NR dynamic BWP switching requires data scheduling. While in NTN FRF&gt;1 scenario, we may need a fast BWP switching triggering without data scheduling.</w:t>
      </w:r>
    </w:p>
    <w:p w14:paraId="71495CBE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>Issue 4: NR BWP switching does not require re-synchronization. However, in NTN FRF&gt;1 scenario, when a satellite beam switching is triggered, UE may need to perform re-synchronization in the switched BWP. </w:t>
      </w:r>
    </w:p>
    <w:p w14:paraId="2677CEAD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>Issue 5: Since satellite beam switching can be frequent and often highly predictable, mechanisms of configured BWP switching (can be a sequence of BWPs) may be preferred but current NR does not allow it.</w:t>
      </w:r>
    </w:p>
    <w:p w14:paraId="5D407AD1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>Issue 6: How to deal with BWP switching triggered by </w:t>
      </w:r>
      <w:proofErr w:type="spellStart"/>
      <w:r w:rsidRPr="00E74749">
        <w:rPr>
          <w:rFonts w:eastAsia="SimSun"/>
          <w:i/>
          <w:iCs/>
          <w:color w:val="000000"/>
          <w:szCs w:val="20"/>
          <w:lang w:eastAsia="zh-CN"/>
        </w:rPr>
        <w:t>bwpInactivityTimer</w:t>
      </w:r>
      <w:proofErr w:type="spellEnd"/>
      <w:r w:rsidRPr="00E74749">
        <w:rPr>
          <w:rFonts w:eastAsia="SimSun"/>
          <w:i/>
          <w:iCs/>
          <w:color w:val="000000"/>
          <w:szCs w:val="20"/>
          <w:lang w:eastAsia="zh-CN"/>
        </w:rPr>
        <w:t>, RA procedure, or simply a need to increase throughput instead of for beam-level mobility.</w:t>
      </w:r>
    </w:p>
    <w:p w14:paraId="0DB49811" w14:textId="77777777" w:rsidR="0025073D" w:rsidRPr="00E74749" w:rsidRDefault="0025073D" w:rsidP="00E74749">
      <w:pPr>
        <w:pStyle w:val="ListParagraph"/>
        <w:numPr>
          <w:ilvl w:val="0"/>
          <w:numId w:val="20"/>
        </w:numPr>
        <w:shd w:val="clear" w:color="auto" w:fill="FFFFFF"/>
        <w:spacing w:after="0" w:line="240" w:lineRule="auto"/>
        <w:contextualSpacing w:val="0"/>
        <w:rPr>
          <w:rFonts w:eastAsia="SimSun"/>
          <w:i/>
          <w:iCs/>
          <w:color w:val="000000"/>
          <w:szCs w:val="20"/>
          <w:lang w:eastAsia="zh-CN"/>
        </w:rPr>
      </w:pPr>
      <w:r w:rsidRPr="00E74749">
        <w:rPr>
          <w:rFonts w:eastAsia="SimSun"/>
          <w:i/>
          <w:iCs/>
          <w:color w:val="000000"/>
          <w:szCs w:val="20"/>
          <w:lang w:eastAsia="zh-CN"/>
        </w:rPr>
        <w:t xml:space="preserve">Issue 7: NR BWP switching/beam switching is done with UE specific </w:t>
      </w:r>
      <w:proofErr w:type="spellStart"/>
      <w:r w:rsidRPr="00E74749">
        <w:rPr>
          <w:rFonts w:eastAsia="SimSun"/>
          <w:i/>
          <w:iCs/>
          <w:color w:val="000000"/>
          <w:szCs w:val="20"/>
          <w:lang w:eastAsia="zh-CN"/>
        </w:rPr>
        <w:t>signalling</w:t>
      </w:r>
      <w:proofErr w:type="spellEnd"/>
      <w:r w:rsidRPr="00E74749">
        <w:rPr>
          <w:rFonts w:eastAsia="SimSun"/>
          <w:i/>
          <w:iCs/>
          <w:color w:val="000000"/>
          <w:szCs w:val="20"/>
          <w:lang w:eastAsia="zh-CN"/>
        </w:rPr>
        <w:t xml:space="preserve"> due to UE </w:t>
      </w:r>
      <w:proofErr w:type="gramStart"/>
      <w:r w:rsidRPr="00E74749">
        <w:rPr>
          <w:rFonts w:eastAsia="SimSun"/>
          <w:i/>
          <w:iCs/>
          <w:color w:val="000000"/>
          <w:szCs w:val="20"/>
          <w:lang w:eastAsia="zh-CN"/>
        </w:rPr>
        <w:t>movement’s</w:t>
      </w:r>
      <w:proofErr w:type="gramEnd"/>
      <w:r w:rsidRPr="00E74749">
        <w:rPr>
          <w:rFonts w:eastAsia="SimSun"/>
          <w:i/>
          <w:iCs/>
          <w:color w:val="000000"/>
          <w:szCs w:val="20"/>
          <w:lang w:eastAsia="zh-CN"/>
        </w:rPr>
        <w:t xml:space="preserve">. However, in NTN scenario, a satellite BWP/beam switching is common for set of UEs, we may need to a common BWP/beam switching mechanism to save the </w:t>
      </w:r>
      <w:proofErr w:type="spellStart"/>
      <w:r w:rsidRPr="00E74749">
        <w:rPr>
          <w:rFonts w:eastAsia="SimSun"/>
          <w:i/>
          <w:iCs/>
          <w:color w:val="000000"/>
          <w:szCs w:val="20"/>
          <w:lang w:eastAsia="zh-CN"/>
        </w:rPr>
        <w:t>signalling</w:t>
      </w:r>
      <w:proofErr w:type="spellEnd"/>
      <w:r w:rsidRPr="00E74749">
        <w:rPr>
          <w:rFonts w:eastAsia="SimSun"/>
          <w:i/>
          <w:iCs/>
          <w:color w:val="000000"/>
          <w:szCs w:val="20"/>
          <w:lang w:eastAsia="zh-CN"/>
        </w:rPr>
        <w:t xml:space="preserve"> overhead.</w:t>
      </w:r>
    </w:p>
    <w:p w14:paraId="643A8C7B" w14:textId="77777777" w:rsidR="0025073D" w:rsidRPr="00E74749" w:rsidRDefault="0025073D" w:rsidP="00E74749">
      <w:pPr>
        <w:spacing w:after="0"/>
        <w:rPr>
          <w:i/>
          <w:iCs/>
          <w:lang w:eastAsia="x-none"/>
        </w:rPr>
      </w:pPr>
    </w:p>
    <w:p w14:paraId="352C2F63" w14:textId="77777777" w:rsidR="0025073D" w:rsidRPr="00E74749" w:rsidRDefault="0025073D" w:rsidP="00E74749">
      <w:pPr>
        <w:shd w:val="clear" w:color="auto" w:fill="FFFFFF"/>
        <w:spacing w:after="0"/>
        <w:rPr>
          <w:rFonts w:eastAsia="SimSun"/>
          <w:i/>
          <w:iCs/>
          <w:color w:val="000000"/>
          <w:u w:val="single"/>
        </w:rPr>
      </w:pPr>
      <w:r w:rsidRPr="00E74749">
        <w:rPr>
          <w:rFonts w:eastAsia="SimSun"/>
          <w:i/>
          <w:iCs/>
          <w:color w:val="000000"/>
          <w:u w:val="single"/>
        </w:rPr>
        <w:t>Conclusion:</w:t>
      </w:r>
    </w:p>
    <w:p w14:paraId="7B22C799" w14:textId="77777777" w:rsidR="0025073D" w:rsidRPr="00E74749" w:rsidRDefault="0025073D" w:rsidP="00E74749">
      <w:pPr>
        <w:shd w:val="clear" w:color="auto" w:fill="FFFFFF"/>
        <w:spacing w:after="0"/>
        <w:rPr>
          <w:rFonts w:eastAsia="SimSun"/>
          <w:i/>
          <w:iCs/>
          <w:color w:val="000000"/>
        </w:rPr>
      </w:pPr>
      <w:r w:rsidRPr="00E74749">
        <w:rPr>
          <w:rFonts w:eastAsia="SimSun"/>
          <w:i/>
          <w:iCs/>
          <w:color w:val="000000"/>
        </w:rPr>
        <w:t>Discuss the necessity of reporting UE polarization capability considering at least following aspects, </w:t>
      </w:r>
    </w:p>
    <w:p w14:paraId="0050223C" w14:textId="77777777" w:rsidR="0025073D" w:rsidRPr="00E74749" w:rsidRDefault="0025073D" w:rsidP="00534B3E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i/>
          <w:iCs/>
          <w:color w:val="000000"/>
        </w:rPr>
      </w:pPr>
      <w:r w:rsidRPr="00E74749">
        <w:rPr>
          <w:rFonts w:eastAsia="SimSun"/>
          <w:i/>
          <w:iCs/>
          <w:color w:val="000000"/>
        </w:rPr>
        <w:t>Deployment scenarios.</w:t>
      </w:r>
    </w:p>
    <w:p w14:paraId="1D3E0FC5" w14:textId="77777777" w:rsidR="0025073D" w:rsidRPr="00E74749" w:rsidRDefault="0025073D" w:rsidP="00E74749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i/>
          <w:iCs/>
          <w:color w:val="000000"/>
        </w:rPr>
      </w:pPr>
      <w:r w:rsidRPr="00E74749">
        <w:rPr>
          <w:rFonts w:eastAsia="SimSun"/>
          <w:i/>
          <w:iCs/>
          <w:color w:val="000000"/>
        </w:rPr>
        <w:t>UE implementation aspects with respect to polarization.</w:t>
      </w:r>
    </w:p>
    <w:p w14:paraId="70EFC657" w14:textId="77777777" w:rsidR="0025073D" w:rsidRPr="00E74749" w:rsidRDefault="0025073D" w:rsidP="00E74749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i/>
          <w:iCs/>
          <w:color w:val="000000"/>
        </w:rPr>
      </w:pPr>
      <w:r w:rsidRPr="00E74749">
        <w:rPr>
          <w:rFonts w:eastAsia="SimSun"/>
          <w:i/>
          <w:iCs/>
          <w:color w:val="000000"/>
        </w:rPr>
        <w:t>Satellite implementation aspects for switching between polarization states.</w:t>
      </w:r>
    </w:p>
    <w:p w14:paraId="3998F4A9" w14:textId="77777777" w:rsidR="0025073D" w:rsidRPr="00E74749" w:rsidRDefault="0025073D" w:rsidP="00E74749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left"/>
        <w:textAlignment w:val="auto"/>
        <w:rPr>
          <w:rFonts w:eastAsia="SimSun"/>
          <w:i/>
          <w:iCs/>
          <w:color w:val="000000"/>
        </w:rPr>
      </w:pPr>
      <w:r w:rsidRPr="00E74749">
        <w:rPr>
          <w:rFonts w:eastAsia="SimSun"/>
          <w:i/>
          <w:iCs/>
          <w:color w:val="000000"/>
        </w:rPr>
        <w:t>Satellite implementation aspects for realizing multiplexing of UEs having different polarization capabilities.</w:t>
      </w:r>
    </w:p>
    <w:p w14:paraId="2B1B852C" w14:textId="77777777" w:rsidR="0025073D" w:rsidRDefault="0025073D" w:rsidP="00001445">
      <w:pPr>
        <w:spacing w:line="276" w:lineRule="auto"/>
        <w:rPr>
          <w:rFonts w:cs="Arial"/>
          <w:sz w:val="22"/>
          <w:szCs w:val="22"/>
        </w:rPr>
      </w:pPr>
    </w:p>
    <w:p w14:paraId="6D28A8BF" w14:textId="12F02F89" w:rsidR="00BE6342" w:rsidRPr="000C3C1B" w:rsidRDefault="00001445" w:rsidP="00001445">
      <w:pPr>
        <w:spacing w:line="276" w:lineRule="auto"/>
      </w:pPr>
      <w:r w:rsidRPr="008924A3">
        <w:rPr>
          <w:rFonts w:cs="Arial"/>
          <w:sz w:val="22"/>
          <w:szCs w:val="22"/>
        </w:rPr>
        <w:t>In this contribution, we discuss</w:t>
      </w:r>
      <w:r w:rsidR="0025073D">
        <w:rPr>
          <w:rFonts w:cs="Arial"/>
          <w:sz w:val="22"/>
          <w:szCs w:val="22"/>
        </w:rPr>
        <w:t xml:space="preserve"> further on</w:t>
      </w:r>
      <w:r w:rsidR="008F5A4A">
        <w:rPr>
          <w:rFonts w:cs="Arial"/>
          <w:sz w:val="22"/>
          <w:szCs w:val="22"/>
        </w:rPr>
        <w:t xml:space="preserve"> beam management related issues for NTN</w:t>
      </w:r>
      <w:bookmarkEnd w:id="0"/>
      <w:r w:rsidR="00E60A1B">
        <w:rPr>
          <w:rFonts w:cs="Arial"/>
          <w:sz w:val="22"/>
          <w:szCs w:val="22"/>
        </w:rPr>
        <w:t>.</w:t>
      </w:r>
    </w:p>
    <w:p w14:paraId="736A3CFD" w14:textId="2F9EBA69" w:rsidR="00214E6A" w:rsidRDefault="00214E6A" w:rsidP="00214E6A">
      <w:pPr>
        <w:pStyle w:val="Heading1"/>
      </w:pPr>
      <w:r>
        <w:t>Discussion</w:t>
      </w:r>
    </w:p>
    <w:p w14:paraId="4312C141" w14:textId="50500069" w:rsidR="002471D9" w:rsidRDefault="002471D9" w:rsidP="00E74749">
      <w:pPr>
        <w:pStyle w:val="Heading2"/>
      </w:pPr>
      <w:r>
        <w:t>Association between beam and BWP</w:t>
      </w:r>
    </w:p>
    <w:p w14:paraId="30D27614" w14:textId="60723711" w:rsidR="00E30291" w:rsidRDefault="002A067C" w:rsidP="00FF5766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>It has been agreed that a single beam per cell or multiple beams per cell can be considered for NTN in Rel-17 and the existing NR specification is the baseline for the NTN beam management.</w:t>
      </w:r>
      <w:r w:rsidR="00E633F1">
        <w:rPr>
          <w:rFonts w:eastAsia="Calibri" w:cs="Arial"/>
          <w:bCs/>
          <w:sz w:val="22"/>
          <w:szCs w:val="22"/>
        </w:rPr>
        <w:t xml:space="preserve"> A single beam per cell seems to be straightforward as there is no beam management in that scenario. When multiple beams are used in a cell, beam management is required as the beam pair (between Tx/Rx) </w:t>
      </w:r>
      <w:proofErr w:type="gramStart"/>
      <w:r w:rsidR="00E633F1">
        <w:rPr>
          <w:rFonts w:eastAsia="Calibri" w:cs="Arial"/>
          <w:bCs/>
          <w:sz w:val="22"/>
          <w:szCs w:val="22"/>
        </w:rPr>
        <w:t>has to</w:t>
      </w:r>
      <w:proofErr w:type="gramEnd"/>
      <w:r w:rsidR="00E633F1">
        <w:rPr>
          <w:rFonts w:eastAsia="Calibri" w:cs="Arial"/>
          <w:bCs/>
          <w:sz w:val="22"/>
          <w:szCs w:val="22"/>
        </w:rPr>
        <w:t xml:space="preserve"> be updated when it is needed.</w:t>
      </w:r>
    </w:p>
    <w:p w14:paraId="09732CC8" w14:textId="7E987DF5" w:rsidR="00DC27C8" w:rsidRPr="007C4E5D" w:rsidRDefault="00DC27C8" w:rsidP="00FF5766">
      <w:pPr>
        <w:spacing w:line="276" w:lineRule="auto"/>
        <w:rPr>
          <w:rFonts w:eastAsia="Calibri" w:cs="Arial"/>
          <w:bCs/>
          <w:sz w:val="22"/>
          <w:szCs w:val="22"/>
          <w:lang w:val="en-US" w:eastAsia="ko-KR"/>
        </w:rPr>
      </w:pPr>
      <w:r>
        <w:rPr>
          <w:rFonts w:eastAsia="Calibri" w:cs="Arial"/>
          <w:bCs/>
          <w:sz w:val="22"/>
          <w:szCs w:val="22"/>
        </w:rPr>
        <w:t xml:space="preserve">One of the key </w:t>
      </w:r>
      <w:proofErr w:type="gramStart"/>
      <w:r>
        <w:rPr>
          <w:rFonts w:eastAsia="Calibri" w:cs="Arial"/>
          <w:bCs/>
          <w:sz w:val="22"/>
          <w:szCs w:val="22"/>
        </w:rPr>
        <w:t>difference</w:t>
      </w:r>
      <w:proofErr w:type="gramEnd"/>
      <w:r>
        <w:rPr>
          <w:rFonts w:eastAsia="Calibri" w:cs="Arial"/>
          <w:bCs/>
          <w:sz w:val="22"/>
          <w:szCs w:val="22"/>
        </w:rPr>
        <w:t xml:space="preserve"> between NTN and TN in terms of beam management</w:t>
      </w:r>
      <w:r w:rsidR="002471D9">
        <w:rPr>
          <w:rFonts w:eastAsia="Calibri" w:cs="Arial"/>
          <w:bCs/>
          <w:sz w:val="22"/>
          <w:szCs w:val="22"/>
        </w:rPr>
        <w:t xml:space="preserve"> (at least in Rel-16)</w:t>
      </w:r>
      <w:r>
        <w:rPr>
          <w:rFonts w:eastAsia="Calibri" w:cs="Arial"/>
          <w:bCs/>
          <w:sz w:val="22"/>
          <w:szCs w:val="22"/>
        </w:rPr>
        <w:t xml:space="preserve"> is whether the</w:t>
      </w:r>
      <w:r w:rsidR="002471D9">
        <w:rPr>
          <w:rFonts w:eastAsia="Calibri" w:cs="Arial"/>
          <w:bCs/>
          <w:sz w:val="22"/>
          <w:szCs w:val="22"/>
        </w:rPr>
        <w:t xml:space="preserve"> beam management operation assumes</w:t>
      </w:r>
      <w:r>
        <w:rPr>
          <w:rFonts w:eastAsia="Calibri" w:cs="Arial"/>
          <w:bCs/>
          <w:sz w:val="22"/>
          <w:szCs w:val="22"/>
        </w:rPr>
        <w:t xml:space="preserve"> </w:t>
      </w:r>
      <w:r w:rsidR="002471D9">
        <w:rPr>
          <w:rFonts w:eastAsia="Calibri" w:cs="Arial"/>
          <w:bCs/>
          <w:sz w:val="22"/>
          <w:szCs w:val="22"/>
        </w:rPr>
        <w:t>simultaneous multi-beam Tx/Rx</w:t>
      </w:r>
      <w:r>
        <w:rPr>
          <w:rFonts w:eastAsia="Calibri" w:cs="Arial"/>
          <w:bCs/>
          <w:sz w:val="22"/>
          <w:szCs w:val="22"/>
        </w:rPr>
        <w:t>.</w:t>
      </w:r>
      <w:r w:rsidR="002471D9">
        <w:rPr>
          <w:rFonts w:eastAsia="Calibri" w:cs="Arial"/>
          <w:bCs/>
          <w:sz w:val="22"/>
          <w:szCs w:val="22"/>
        </w:rPr>
        <w:t xml:space="preserve"> I</w:t>
      </w:r>
      <w:r>
        <w:rPr>
          <w:rFonts w:eastAsia="Calibri" w:cs="Arial"/>
          <w:bCs/>
          <w:sz w:val="22"/>
          <w:szCs w:val="22"/>
        </w:rPr>
        <w:t xml:space="preserve">n NTN, it is assumed that multiple beams could be transmitted </w:t>
      </w:r>
      <w:proofErr w:type="spellStart"/>
      <w:r>
        <w:rPr>
          <w:rFonts w:eastAsia="Calibri" w:cs="Arial"/>
          <w:bCs/>
          <w:sz w:val="22"/>
          <w:szCs w:val="22"/>
        </w:rPr>
        <w:t>simulatenously</w:t>
      </w:r>
      <w:proofErr w:type="spellEnd"/>
      <w:r>
        <w:rPr>
          <w:rFonts w:eastAsia="Calibri" w:cs="Arial"/>
          <w:bCs/>
          <w:sz w:val="22"/>
          <w:szCs w:val="22"/>
        </w:rPr>
        <w:t xml:space="preserve"> to cover the whole cell areas and each beam covers a sub-area within the cell. On the other hand, in TN, it has been assumed that a single beam could be transmitted at a time. Therefore, TDM has been assumed when multiple beams </w:t>
      </w:r>
      <w:proofErr w:type="gramStart"/>
      <w:r>
        <w:rPr>
          <w:rFonts w:eastAsia="Calibri" w:cs="Arial"/>
          <w:bCs/>
          <w:sz w:val="22"/>
          <w:szCs w:val="22"/>
        </w:rPr>
        <w:t>has</w:t>
      </w:r>
      <w:proofErr w:type="gramEnd"/>
      <w:r>
        <w:rPr>
          <w:rFonts w:eastAsia="Calibri" w:cs="Arial"/>
          <w:bCs/>
          <w:sz w:val="22"/>
          <w:szCs w:val="22"/>
        </w:rPr>
        <w:t xml:space="preserve"> to be transmitted. Therefore, inter-beam co-channel interference becomes an issue as a </w:t>
      </w:r>
      <w:proofErr w:type="spellStart"/>
      <w:r>
        <w:rPr>
          <w:rFonts w:eastAsia="Calibri" w:cs="Arial"/>
          <w:bCs/>
          <w:sz w:val="22"/>
          <w:szCs w:val="22"/>
        </w:rPr>
        <w:t>neighoring</w:t>
      </w:r>
      <w:proofErr w:type="spellEnd"/>
      <w:r>
        <w:rPr>
          <w:rFonts w:eastAsia="Calibri" w:cs="Arial"/>
          <w:bCs/>
          <w:sz w:val="22"/>
          <w:szCs w:val="22"/>
        </w:rPr>
        <w:t xml:space="preserve"> beam could interfere</w:t>
      </w:r>
      <w:r w:rsidR="00BE3ABB">
        <w:rPr>
          <w:rFonts w:eastAsia="Calibri" w:cs="Arial"/>
          <w:bCs/>
          <w:sz w:val="22"/>
          <w:szCs w:val="22"/>
        </w:rPr>
        <w:t xml:space="preserve"> </w:t>
      </w:r>
      <w:r w:rsidR="002676F9">
        <w:rPr>
          <w:rFonts w:eastAsia="Calibri" w:cs="Arial"/>
          <w:bCs/>
          <w:sz w:val="22"/>
          <w:szCs w:val="22"/>
        </w:rPr>
        <w:t xml:space="preserve">with </w:t>
      </w:r>
      <w:r w:rsidR="00BE3ABB">
        <w:rPr>
          <w:rFonts w:eastAsia="Calibri" w:cs="Arial"/>
          <w:bCs/>
          <w:sz w:val="22"/>
          <w:szCs w:val="22"/>
        </w:rPr>
        <w:t xml:space="preserve">a serving beam which is </w:t>
      </w:r>
      <w:proofErr w:type="gramStart"/>
      <w:r w:rsidR="00BE3ABB">
        <w:rPr>
          <w:rFonts w:eastAsia="Calibri" w:cs="Arial"/>
          <w:bCs/>
          <w:sz w:val="22"/>
          <w:szCs w:val="22"/>
        </w:rPr>
        <w:t>similar to</w:t>
      </w:r>
      <w:proofErr w:type="gramEnd"/>
      <w:r w:rsidR="00BE3ABB">
        <w:rPr>
          <w:rFonts w:eastAsia="Calibri" w:cs="Arial"/>
          <w:bCs/>
          <w:sz w:val="22"/>
          <w:szCs w:val="22"/>
        </w:rPr>
        <w:t xml:space="preserve"> inter-cell interference.</w:t>
      </w:r>
      <w:r w:rsidR="00E5386D">
        <w:rPr>
          <w:rFonts w:eastAsia="Calibri" w:cs="Arial"/>
          <w:bCs/>
          <w:sz w:val="22"/>
          <w:szCs w:val="22"/>
        </w:rPr>
        <w:t xml:space="preserve"> </w:t>
      </w:r>
      <w:proofErr w:type="gramStart"/>
      <w:r w:rsidR="00E5386D">
        <w:rPr>
          <w:rFonts w:eastAsia="Calibri" w:cs="Arial"/>
          <w:bCs/>
          <w:sz w:val="22"/>
          <w:szCs w:val="22"/>
        </w:rPr>
        <w:t>In order to</w:t>
      </w:r>
      <w:proofErr w:type="gramEnd"/>
      <w:r w:rsidR="00E5386D">
        <w:rPr>
          <w:rFonts w:eastAsia="Calibri" w:cs="Arial"/>
          <w:bCs/>
          <w:sz w:val="22"/>
          <w:szCs w:val="22"/>
        </w:rPr>
        <w:t xml:space="preserve"> reduce the inter-beam co-channel interference, the </w:t>
      </w:r>
      <w:r w:rsidR="00E5386D">
        <w:rPr>
          <w:rFonts w:eastAsia="Calibri" w:cs="Arial"/>
          <w:bCs/>
          <w:sz w:val="22"/>
          <w:szCs w:val="22"/>
          <w:lang w:val="en-US"/>
        </w:rPr>
        <w:t>frequency reuse for the beams in a cell was discussed. The frequency reuse for the beams in a cell could be implemented with different bandwidth part allocation for the neigh</w:t>
      </w:r>
      <w:r w:rsidR="002676F9">
        <w:rPr>
          <w:rFonts w:eastAsia="Calibri" w:cs="Arial"/>
          <w:bCs/>
          <w:sz w:val="22"/>
          <w:szCs w:val="22"/>
          <w:lang w:val="en-US"/>
        </w:rPr>
        <w:t>b</w:t>
      </w:r>
      <w:r w:rsidR="00E5386D">
        <w:rPr>
          <w:rFonts w:eastAsia="Calibri" w:cs="Arial"/>
          <w:bCs/>
          <w:sz w:val="22"/>
          <w:szCs w:val="22"/>
          <w:lang w:val="en-US"/>
        </w:rPr>
        <w:t>oring beams so that a UE in a beam is not required to receive signals beyond the bandwidth used for the UE, which is beneficial in terms for the power saving. Then, when a UE moves from a beam to another, it can simply switch the BWP.</w:t>
      </w:r>
    </w:p>
    <w:p w14:paraId="43CAEAE2" w14:textId="337740B5" w:rsidR="00DC27C8" w:rsidRPr="007C4E5D" w:rsidRDefault="00087E45" w:rsidP="00FF5766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7C4E5D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25073D">
        <w:rPr>
          <w:rFonts w:eastAsia="Calibri" w:cs="Arial"/>
          <w:b/>
          <w:i/>
          <w:iCs/>
          <w:sz w:val="22"/>
          <w:szCs w:val="22"/>
        </w:rPr>
        <w:t>1</w:t>
      </w:r>
      <w:r w:rsidRPr="007C4E5D">
        <w:rPr>
          <w:rFonts w:eastAsia="Calibri" w:cs="Arial"/>
          <w:b/>
          <w:i/>
          <w:iCs/>
          <w:sz w:val="22"/>
          <w:szCs w:val="22"/>
        </w:rPr>
        <w:t>:</w:t>
      </w:r>
      <w:r w:rsidRPr="007C4E5D">
        <w:rPr>
          <w:rFonts w:eastAsia="Calibri" w:cs="Arial"/>
          <w:bCs/>
          <w:i/>
          <w:iCs/>
          <w:sz w:val="22"/>
          <w:szCs w:val="22"/>
        </w:rPr>
        <w:t xml:space="preserve"> consider different BWP allocation per beam</w:t>
      </w:r>
      <w:r w:rsidR="002471D9">
        <w:rPr>
          <w:rFonts w:eastAsia="Calibri" w:cs="Arial"/>
          <w:bCs/>
          <w:i/>
          <w:iCs/>
          <w:sz w:val="22"/>
          <w:szCs w:val="22"/>
        </w:rPr>
        <w:t xml:space="preserve"> (</w:t>
      </w:r>
      <w:r w:rsidR="000B6BB1">
        <w:rPr>
          <w:rFonts w:eastAsia="Calibri" w:cs="Arial"/>
          <w:bCs/>
          <w:i/>
          <w:iCs/>
          <w:sz w:val="22"/>
          <w:szCs w:val="22"/>
        </w:rPr>
        <w:t xml:space="preserve">e.g., </w:t>
      </w:r>
      <w:r w:rsidR="002471D9">
        <w:rPr>
          <w:rFonts w:eastAsia="Calibri" w:cs="Arial"/>
          <w:bCs/>
          <w:i/>
          <w:iCs/>
          <w:sz w:val="22"/>
          <w:szCs w:val="22"/>
        </w:rPr>
        <w:t xml:space="preserve">at least for the </w:t>
      </w:r>
      <w:proofErr w:type="spellStart"/>
      <w:r w:rsidR="002471D9">
        <w:rPr>
          <w:rFonts w:eastAsia="Calibri" w:cs="Arial"/>
          <w:bCs/>
          <w:i/>
          <w:iCs/>
          <w:sz w:val="22"/>
          <w:szCs w:val="22"/>
        </w:rPr>
        <w:t>neighboring</w:t>
      </w:r>
      <w:proofErr w:type="spellEnd"/>
      <w:r w:rsidR="002471D9">
        <w:rPr>
          <w:rFonts w:eastAsia="Calibri" w:cs="Arial"/>
          <w:bCs/>
          <w:i/>
          <w:iCs/>
          <w:sz w:val="22"/>
          <w:szCs w:val="22"/>
        </w:rPr>
        <w:t xml:space="preserve"> beams)</w:t>
      </w:r>
      <w:r w:rsidRPr="007C4E5D">
        <w:rPr>
          <w:rFonts w:eastAsia="Calibri" w:cs="Arial"/>
          <w:bCs/>
          <w:i/>
          <w:iCs/>
          <w:sz w:val="22"/>
          <w:szCs w:val="22"/>
        </w:rPr>
        <w:t xml:space="preserve"> as baseline when multiple beams per cell are used</w:t>
      </w:r>
    </w:p>
    <w:p w14:paraId="506D501E" w14:textId="77777777" w:rsidR="00324B49" w:rsidRDefault="00087E45" w:rsidP="00FF5766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Assuming that the frequency reuse is used for the multiple beams in a cell, the beam measurement for the beams other than the current serving beam could be complicated as the measurement RS </w:t>
      </w:r>
      <w:r>
        <w:rPr>
          <w:rFonts w:eastAsia="Calibri" w:cs="Arial"/>
          <w:bCs/>
          <w:sz w:val="22"/>
          <w:szCs w:val="22"/>
        </w:rPr>
        <w:lastRenderedPageBreak/>
        <w:t xml:space="preserve">for the other beams could </w:t>
      </w:r>
      <w:proofErr w:type="gramStart"/>
      <w:r>
        <w:rPr>
          <w:rFonts w:eastAsia="Calibri" w:cs="Arial"/>
          <w:bCs/>
          <w:sz w:val="22"/>
          <w:szCs w:val="22"/>
        </w:rPr>
        <w:t>be located in</w:t>
      </w:r>
      <w:proofErr w:type="gramEnd"/>
      <w:r>
        <w:rPr>
          <w:rFonts w:eastAsia="Calibri" w:cs="Arial"/>
          <w:bCs/>
          <w:sz w:val="22"/>
          <w:szCs w:val="22"/>
        </w:rPr>
        <w:t xml:space="preserve"> a different BWP. Note that measurement of NZP-CSI-RS in an inactive BWP is not supported in current specification. </w:t>
      </w:r>
    </w:p>
    <w:p w14:paraId="40815C8A" w14:textId="655A0B86" w:rsidR="00087E45" w:rsidRDefault="00087E45" w:rsidP="00FF5766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In order to minimize the </w:t>
      </w:r>
      <w:proofErr w:type="gramStart"/>
      <w:r>
        <w:rPr>
          <w:rFonts w:eastAsia="Calibri" w:cs="Arial"/>
          <w:bCs/>
          <w:sz w:val="22"/>
          <w:szCs w:val="22"/>
        </w:rPr>
        <w:t>standards</w:t>
      </w:r>
      <w:proofErr w:type="gramEnd"/>
      <w:r>
        <w:rPr>
          <w:rFonts w:eastAsia="Calibri" w:cs="Arial"/>
          <w:bCs/>
          <w:sz w:val="22"/>
          <w:szCs w:val="22"/>
        </w:rPr>
        <w:t xml:space="preserve"> impact</w:t>
      </w:r>
      <w:r w:rsidR="00324B49">
        <w:rPr>
          <w:rFonts w:eastAsia="Calibri" w:cs="Arial"/>
          <w:bCs/>
          <w:sz w:val="22"/>
          <w:szCs w:val="22"/>
        </w:rPr>
        <w:t xml:space="preserve"> for the beam measurement in different BWPs</w:t>
      </w:r>
      <w:r>
        <w:rPr>
          <w:rFonts w:eastAsia="Calibri" w:cs="Arial"/>
          <w:bCs/>
          <w:sz w:val="22"/>
          <w:szCs w:val="22"/>
        </w:rPr>
        <w:t>, the gNB may switch</w:t>
      </w:r>
      <w:r w:rsidR="000B6BB1">
        <w:rPr>
          <w:rFonts w:eastAsia="Calibri" w:cs="Arial"/>
          <w:bCs/>
          <w:sz w:val="22"/>
          <w:szCs w:val="22"/>
        </w:rPr>
        <w:t xml:space="preserve"> a UE</w:t>
      </w:r>
      <w:r>
        <w:rPr>
          <w:rFonts w:eastAsia="Calibri" w:cs="Arial"/>
          <w:bCs/>
          <w:sz w:val="22"/>
          <w:szCs w:val="22"/>
        </w:rPr>
        <w:t xml:space="preserve"> from </w:t>
      </w:r>
      <w:r w:rsidR="000B6BB1">
        <w:rPr>
          <w:rFonts w:eastAsia="Calibri" w:cs="Arial"/>
          <w:bCs/>
          <w:sz w:val="22"/>
          <w:szCs w:val="22"/>
        </w:rPr>
        <w:t xml:space="preserve">a </w:t>
      </w:r>
      <w:r>
        <w:rPr>
          <w:rFonts w:eastAsia="Calibri" w:cs="Arial"/>
          <w:bCs/>
          <w:sz w:val="22"/>
          <w:szCs w:val="22"/>
        </w:rPr>
        <w:t xml:space="preserve">serving BWP to a target BWP (e.g., </w:t>
      </w:r>
      <w:proofErr w:type="spellStart"/>
      <w:r>
        <w:rPr>
          <w:rFonts w:eastAsia="Calibri" w:cs="Arial"/>
          <w:bCs/>
          <w:sz w:val="22"/>
          <w:szCs w:val="22"/>
        </w:rPr>
        <w:t>neighboring</w:t>
      </w:r>
      <w:proofErr w:type="spellEnd"/>
      <w:r>
        <w:rPr>
          <w:rFonts w:eastAsia="Calibri" w:cs="Arial"/>
          <w:bCs/>
          <w:sz w:val="22"/>
          <w:szCs w:val="22"/>
        </w:rPr>
        <w:t>) for beam measurement and trigger aperiodic CSI reporting in the target BWP; and switch back to the serving BWP</w:t>
      </w:r>
      <w:r w:rsidR="00324B49">
        <w:rPr>
          <w:rFonts w:eastAsia="Calibri" w:cs="Arial"/>
          <w:bCs/>
          <w:sz w:val="22"/>
          <w:szCs w:val="22"/>
        </w:rPr>
        <w:t xml:space="preserve"> after receiving the CSI reporting</w:t>
      </w:r>
      <w:r>
        <w:rPr>
          <w:rFonts w:eastAsia="Calibri" w:cs="Arial"/>
          <w:bCs/>
          <w:sz w:val="22"/>
          <w:szCs w:val="22"/>
        </w:rPr>
        <w:t>.</w:t>
      </w:r>
      <w:r w:rsidR="00324B49">
        <w:rPr>
          <w:rFonts w:eastAsia="Calibri" w:cs="Arial"/>
          <w:bCs/>
          <w:sz w:val="22"/>
          <w:szCs w:val="22"/>
        </w:rPr>
        <w:t xml:space="preserve"> However,</w:t>
      </w:r>
      <w:r>
        <w:rPr>
          <w:rFonts w:eastAsia="Calibri" w:cs="Arial"/>
          <w:bCs/>
          <w:sz w:val="22"/>
          <w:szCs w:val="22"/>
        </w:rPr>
        <w:t xml:space="preserve"> </w:t>
      </w:r>
      <w:r w:rsidR="00324B49">
        <w:rPr>
          <w:rFonts w:eastAsia="Calibri" w:cs="Arial"/>
          <w:bCs/>
          <w:sz w:val="22"/>
          <w:szCs w:val="22"/>
        </w:rPr>
        <w:t>t</w:t>
      </w:r>
      <w:r>
        <w:rPr>
          <w:rFonts w:eastAsia="Calibri" w:cs="Arial"/>
          <w:bCs/>
          <w:sz w:val="22"/>
          <w:szCs w:val="22"/>
        </w:rPr>
        <w:t xml:space="preserve">his may </w:t>
      </w:r>
      <w:proofErr w:type="gramStart"/>
      <w:r>
        <w:rPr>
          <w:rFonts w:eastAsia="Calibri" w:cs="Arial"/>
          <w:bCs/>
          <w:sz w:val="22"/>
          <w:szCs w:val="22"/>
        </w:rPr>
        <w:t>requires</w:t>
      </w:r>
      <w:proofErr w:type="gramEnd"/>
      <w:r>
        <w:rPr>
          <w:rFonts w:eastAsia="Calibri" w:cs="Arial"/>
          <w:bCs/>
          <w:sz w:val="22"/>
          <w:szCs w:val="22"/>
        </w:rPr>
        <w:t xml:space="preserve"> </w:t>
      </w:r>
      <w:r w:rsidR="00324B49">
        <w:rPr>
          <w:rFonts w:eastAsia="Calibri" w:cs="Arial"/>
          <w:bCs/>
          <w:sz w:val="22"/>
          <w:szCs w:val="22"/>
        </w:rPr>
        <w:t xml:space="preserve">quite a </w:t>
      </w:r>
      <w:r>
        <w:rPr>
          <w:rFonts w:eastAsia="Calibri" w:cs="Arial"/>
          <w:bCs/>
          <w:sz w:val="22"/>
          <w:szCs w:val="22"/>
        </w:rPr>
        <w:t>long time gap during which a UE may not receive/transmit in the serving BWP</w:t>
      </w:r>
      <w:r w:rsidR="00324B49">
        <w:rPr>
          <w:rFonts w:eastAsia="Calibri" w:cs="Arial"/>
          <w:bCs/>
          <w:sz w:val="22"/>
          <w:szCs w:val="22"/>
        </w:rPr>
        <w:t xml:space="preserve"> and the number of beams to measure could be</w:t>
      </w:r>
      <w:r w:rsidR="00827AF6">
        <w:rPr>
          <w:rFonts w:eastAsia="Calibri" w:cs="Arial"/>
          <w:bCs/>
          <w:sz w:val="22"/>
          <w:szCs w:val="22"/>
        </w:rPr>
        <w:t xml:space="preserve"> relatively large considering the number of </w:t>
      </w:r>
      <w:proofErr w:type="spellStart"/>
      <w:r w:rsidR="00827AF6">
        <w:rPr>
          <w:rFonts w:eastAsia="Calibri" w:cs="Arial"/>
          <w:bCs/>
          <w:sz w:val="22"/>
          <w:szCs w:val="22"/>
        </w:rPr>
        <w:t>neighboring</w:t>
      </w:r>
      <w:proofErr w:type="spellEnd"/>
      <w:r w:rsidR="00827AF6">
        <w:rPr>
          <w:rFonts w:eastAsia="Calibri" w:cs="Arial"/>
          <w:bCs/>
          <w:sz w:val="22"/>
          <w:szCs w:val="22"/>
        </w:rPr>
        <w:t xml:space="preserve"> beam could as many as 6.</w:t>
      </w:r>
    </w:p>
    <w:p w14:paraId="5C6F8174" w14:textId="5465FAD4" w:rsidR="00827AF6" w:rsidRDefault="00827AF6" w:rsidP="00FF5766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Therefore, it is beneficial to study the mechanism (e.g., beam measurement in an inactive BWP) which can reduce the time gap (or measurement gap) for measuring </w:t>
      </w:r>
      <w:proofErr w:type="spellStart"/>
      <w:r>
        <w:rPr>
          <w:rFonts w:eastAsia="Calibri" w:cs="Arial"/>
          <w:bCs/>
          <w:sz w:val="22"/>
          <w:szCs w:val="22"/>
        </w:rPr>
        <w:t>neighboring</w:t>
      </w:r>
      <w:proofErr w:type="spellEnd"/>
      <w:r>
        <w:rPr>
          <w:rFonts w:eastAsia="Calibri" w:cs="Arial"/>
          <w:bCs/>
          <w:sz w:val="22"/>
          <w:szCs w:val="22"/>
        </w:rPr>
        <w:t xml:space="preserve"> beams when frequency reuse is used.</w:t>
      </w:r>
    </w:p>
    <w:p w14:paraId="2A7A1646" w14:textId="00FA3F24" w:rsidR="00324B49" w:rsidRDefault="00324B49" w:rsidP="00324B49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050B1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25073D">
        <w:rPr>
          <w:rFonts w:eastAsia="Calibri" w:cs="Arial"/>
          <w:b/>
          <w:i/>
          <w:iCs/>
          <w:sz w:val="22"/>
          <w:szCs w:val="22"/>
        </w:rPr>
        <w:t>2</w:t>
      </w:r>
      <w:r w:rsidRPr="00E050B1">
        <w:rPr>
          <w:rFonts w:eastAsia="Calibri" w:cs="Arial"/>
          <w:b/>
          <w:i/>
          <w:iCs/>
          <w:sz w:val="22"/>
          <w:szCs w:val="22"/>
        </w:rPr>
        <w:t>:</w:t>
      </w:r>
      <w:r w:rsidRPr="00E050B1">
        <w:rPr>
          <w:rFonts w:eastAsia="Calibri" w:cs="Arial"/>
          <w:bCs/>
          <w:i/>
          <w:iCs/>
          <w:sz w:val="22"/>
          <w:szCs w:val="22"/>
        </w:rPr>
        <w:t xml:space="preserve"> </w:t>
      </w:r>
      <w:r w:rsidR="00827AF6">
        <w:rPr>
          <w:rFonts w:eastAsia="Calibri" w:cs="Arial"/>
          <w:bCs/>
          <w:i/>
          <w:iCs/>
          <w:sz w:val="22"/>
          <w:szCs w:val="22"/>
        </w:rPr>
        <w:t xml:space="preserve"> study a mechanism to reduce the time gap to measure </w:t>
      </w:r>
      <w:proofErr w:type="spellStart"/>
      <w:r w:rsidR="00827AF6">
        <w:rPr>
          <w:rFonts w:eastAsia="Calibri" w:cs="Arial"/>
          <w:bCs/>
          <w:i/>
          <w:iCs/>
          <w:sz w:val="22"/>
          <w:szCs w:val="22"/>
        </w:rPr>
        <w:t>neighboring</w:t>
      </w:r>
      <w:proofErr w:type="spellEnd"/>
      <w:r w:rsidR="00827AF6">
        <w:rPr>
          <w:rFonts w:eastAsia="Calibri" w:cs="Arial"/>
          <w:bCs/>
          <w:i/>
          <w:iCs/>
          <w:sz w:val="22"/>
          <w:szCs w:val="22"/>
        </w:rPr>
        <w:t xml:space="preserve"> beams when frequency reuse is used for multiple beams in a cell</w:t>
      </w:r>
    </w:p>
    <w:p w14:paraId="008B6A19" w14:textId="2274C961" w:rsidR="000B6BB1" w:rsidRDefault="000B6BB1" w:rsidP="000B6BB1">
      <w:pPr>
        <w:pStyle w:val="Heading3"/>
      </w:pPr>
      <w:r>
        <w:t>Association between SSB and BWP</w:t>
      </w:r>
    </w:p>
    <w:p w14:paraId="718FE5AB" w14:textId="4A823227" w:rsidR="002471D9" w:rsidRDefault="003C1923" w:rsidP="00324B49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>In RAN1 #103-e, the following 4 options were discussed for the association between SSB and BWP:</w:t>
      </w:r>
    </w:p>
    <w:p w14:paraId="7FCAE9A4" w14:textId="576A56C1" w:rsidR="003C1923" w:rsidRPr="004738A5" w:rsidRDefault="003C1923" w:rsidP="003C1923">
      <w:pPr>
        <w:pStyle w:val="ListParagraph"/>
        <w:numPr>
          <w:ilvl w:val="0"/>
          <w:numId w:val="18"/>
        </w:numPr>
        <w:spacing w:line="276" w:lineRule="auto"/>
        <w:rPr>
          <w:rFonts w:ascii="Arial" w:eastAsia="Calibri" w:hAnsi="Arial" w:cs="Arial"/>
          <w:bCs/>
        </w:rPr>
      </w:pPr>
      <w:r w:rsidRPr="004738A5">
        <w:rPr>
          <w:rFonts w:ascii="Arial" w:eastAsia="Calibri" w:hAnsi="Arial" w:cs="Arial"/>
          <w:bCs/>
        </w:rPr>
        <w:t xml:space="preserve">Option-1: same beam layout for BWP0 and </w:t>
      </w:r>
      <w:proofErr w:type="spellStart"/>
      <w:r w:rsidRPr="004738A5">
        <w:rPr>
          <w:rFonts w:ascii="Arial" w:eastAsia="Calibri" w:hAnsi="Arial" w:cs="Arial"/>
          <w:bCs/>
        </w:rPr>
        <w:t>BWPx</w:t>
      </w:r>
      <w:proofErr w:type="spellEnd"/>
    </w:p>
    <w:p w14:paraId="258F0FCB" w14:textId="214A9FE0" w:rsidR="003C1923" w:rsidRPr="004738A5" w:rsidRDefault="003C1923" w:rsidP="003C1923">
      <w:pPr>
        <w:pStyle w:val="ListParagraph"/>
        <w:numPr>
          <w:ilvl w:val="0"/>
          <w:numId w:val="18"/>
        </w:numPr>
        <w:spacing w:line="276" w:lineRule="auto"/>
        <w:rPr>
          <w:rFonts w:ascii="Arial" w:eastAsia="Calibri" w:hAnsi="Arial" w:cs="Arial"/>
          <w:bCs/>
        </w:rPr>
      </w:pPr>
      <w:r w:rsidRPr="004738A5">
        <w:rPr>
          <w:rFonts w:ascii="Arial" w:eastAsia="Calibri" w:hAnsi="Arial" w:cs="Arial"/>
          <w:bCs/>
        </w:rPr>
        <w:t>Option-2: hierarchical beam layout for different BWPs</w:t>
      </w:r>
    </w:p>
    <w:p w14:paraId="46E4163D" w14:textId="6BA4602F" w:rsidR="003C1923" w:rsidRPr="004738A5" w:rsidRDefault="003C1923" w:rsidP="003C1923">
      <w:pPr>
        <w:pStyle w:val="ListParagraph"/>
        <w:numPr>
          <w:ilvl w:val="0"/>
          <w:numId w:val="18"/>
        </w:numPr>
        <w:spacing w:line="276" w:lineRule="auto"/>
        <w:rPr>
          <w:rFonts w:ascii="Arial" w:eastAsia="Calibri" w:hAnsi="Arial" w:cs="Arial"/>
          <w:bCs/>
        </w:rPr>
      </w:pPr>
      <w:r w:rsidRPr="004738A5">
        <w:rPr>
          <w:rFonts w:ascii="Arial" w:eastAsia="Calibri" w:hAnsi="Arial" w:cs="Arial"/>
          <w:bCs/>
        </w:rPr>
        <w:t>Option-3: mapping between SSB index and BWP index</w:t>
      </w:r>
    </w:p>
    <w:p w14:paraId="1C0AE49C" w14:textId="175E2B5D" w:rsidR="003C1923" w:rsidRPr="004738A5" w:rsidRDefault="003C1923" w:rsidP="004738A5">
      <w:pPr>
        <w:pStyle w:val="ListParagraph"/>
        <w:numPr>
          <w:ilvl w:val="0"/>
          <w:numId w:val="18"/>
        </w:numPr>
        <w:spacing w:line="276" w:lineRule="auto"/>
        <w:rPr>
          <w:rFonts w:eastAsia="Calibri" w:cs="Arial"/>
          <w:bCs/>
        </w:rPr>
      </w:pPr>
      <w:r w:rsidRPr="004738A5">
        <w:rPr>
          <w:rFonts w:ascii="Arial" w:eastAsia="Calibri" w:hAnsi="Arial" w:cs="Arial"/>
          <w:bCs/>
        </w:rPr>
        <w:t>Option-4: SSB transmission in beam-specific initial BWP</w:t>
      </w:r>
    </w:p>
    <w:p w14:paraId="48EFD038" w14:textId="17EA55A2" w:rsidR="003070E8" w:rsidRDefault="0070783F" w:rsidP="00324B49">
      <w:pPr>
        <w:spacing w:line="276" w:lineRule="auto"/>
        <w:rPr>
          <w:rFonts w:eastAsia="Calibri" w:cs="Arial"/>
          <w:bCs/>
          <w:sz w:val="22"/>
          <w:szCs w:val="22"/>
          <w:lang w:eastAsia="ko-KR"/>
        </w:rPr>
      </w:pPr>
      <w:r>
        <w:rPr>
          <w:rFonts w:eastAsia="Calibri" w:cs="Arial"/>
          <w:bCs/>
          <w:sz w:val="22"/>
          <w:szCs w:val="22"/>
        </w:rPr>
        <w:t xml:space="preserve">Among the options, the Option-1/2 seems to be already supported by current specification. Then, the discussion is whether an additional mechanism on top of what already exist </w:t>
      </w:r>
      <w:proofErr w:type="gramStart"/>
      <w:r>
        <w:rPr>
          <w:rFonts w:eastAsia="Calibri" w:cs="Arial"/>
          <w:bCs/>
          <w:sz w:val="22"/>
          <w:szCs w:val="22"/>
        </w:rPr>
        <w:t>has to</w:t>
      </w:r>
      <w:proofErr w:type="gramEnd"/>
      <w:r>
        <w:rPr>
          <w:rFonts w:eastAsia="Calibri" w:cs="Arial"/>
          <w:bCs/>
          <w:sz w:val="22"/>
          <w:szCs w:val="22"/>
        </w:rPr>
        <w:t xml:space="preserve"> be introduced for NTN. As discussed in the previous section, in NTN, multiple beams in a same cell could be simultaneously transmitted and each beam covers a sub-area within the cell. Therefore, </w:t>
      </w:r>
      <w:proofErr w:type="gramStart"/>
      <w:r>
        <w:rPr>
          <w:rFonts w:eastAsia="Calibri" w:cs="Arial"/>
          <w:bCs/>
          <w:sz w:val="22"/>
          <w:szCs w:val="22"/>
        </w:rPr>
        <w:t>using  different</w:t>
      </w:r>
      <w:proofErr w:type="gramEnd"/>
      <w:r>
        <w:rPr>
          <w:rFonts w:eastAsia="Calibri" w:cs="Arial"/>
          <w:bCs/>
          <w:sz w:val="22"/>
          <w:szCs w:val="22"/>
        </w:rPr>
        <w:t xml:space="preserve"> frequencies for the </w:t>
      </w:r>
      <w:proofErr w:type="spellStart"/>
      <w:r>
        <w:rPr>
          <w:rFonts w:eastAsia="Calibri" w:cs="Arial"/>
          <w:bCs/>
          <w:sz w:val="22"/>
          <w:szCs w:val="22"/>
        </w:rPr>
        <w:t>neighboring</w:t>
      </w:r>
      <w:proofErr w:type="spellEnd"/>
      <w:r>
        <w:rPr>
          <w:rFonts w:eastAsia="Calibri" w:cs="Arial"/>
          <w:bCs/>
          <w:sz w:val="22"/>
          <w:szCs w:val="22"/>
        </w:rPr>
        <w:t xml:space="preserve"> beams may be beneficial to reduce the inter-beam interference.</w:t>
      </w:r>
      <w:r w:rsidR="00A0529A">
        <w:rPr>
          <w:rFonts w:eastAsia="Calibri" w:cs="Arial"/>
          <w:bCs/>
          <w:sz w:val="22"/>
          <w:szCs w:val="22"/>
          <w:lang w:eastAsia="ko-KR"/>
        </w:rPr>
        <w:t xml:space="preserve"> In such a scenario, the associated SSB for a BWP (e.g., beam-specific initial BWP) is transmitted in the same frequency band seems to provide a benefit that an additional CSI-RS doesn’t need to be configured/transmitted for beam measurement. However, it may require a significant specification impacts as the SSBs with different beams have been transmitted in the same frequency in the current specification. </w:t>
      </w:r>
      <w:r w:rsidR="00B03C97">
        <w:rPr>
          <w:rFonts w:eastAsia="Calibri" w:cs="Arial"/>
          <w:bCs/>
          <w:sz w:val="22"/>
          <w:szCs w:val="22"/>
          <w:lang w:eastAsia="ko-KR"/>
        </w:rPr>
        <w:t xml:space="preserve">As such, SSB transmission in each beam-specific BWP could change UE initial access </w:t>
      </w:r>
      <w:proofErr w:type="spellStart"/>
      <w:r w:rsidR="00B03C97">
        <w:rPr>
          <w:rFonts w:eastAsia="Calibri" w:cs="Arial"/>
          <w:bCs/>
          <w:sz w:val="22"/>
          <w:szCs w:val="22"/>
          <w:lang w:eastAsia="ko-KR"/>
        </w:rPr>
        <w:t>behaviors</w:t>
      </w:r>
      <w:proofErr w:type="spellEnd"/>
      <w:r w:rsidR="00B03C97">
        <w:rPr>
          <w:rFonts w:eastAsia="Calibri" w:cs="Arial"/>
          <w:bCs/>
          <w:sz w:val="22"/>
          <w:szCs w:val="22"/>
          <w:lang w:eastAsia="ko-KR"/>
        </w:rPr>
        <w:t>.</w:t>
      </w:r>
    </w:p>
    <w:p w14:paraId="22BD3093" w14:textId="142E5AB7" w:rsidR="00A0529A" w:rsidRPr="004738A5" w:rsidRDefault="00B03C97" w:rsidP="00324B49">
      <w:pPr>
        <w:spacing w:line="276" w:lineRule="auto"/>
        <w:rPr>
          <w:rFonts w:eastAsia="Calibri" w:cs="Arial"/>
          <w:bCs/>
          <w:sz w:val="22"/>
          <w:szCs w:val="22"/>
          <w:lang w:val="en-US" w:eastAsia="ko-KR"/>
        </w:rPr>
      </w:pPr>
      <w:r>
        <w:rPr>
          <w:rFonts w:eastAsia="Calibri" w:cs="Arial"/>
          <w:bCs/>
          <w:sz w:val="22"/>
          <w:szCs w:val="22"/>
          <w:lang w:eastAsia="ko-KR"/>
        </w:rPr>
        <w:t>Based on the above observation</w:t>
      </w:r>
      <w:r w:rsidR="00A0529A">
        <w:rPr>
          <w:rFonts w:eastAsia="Calibri" w:cs="Arial"/>
          <w:bCs/>
          <w:sz w:val="22"/>
          <w:szCs w:val="22"/>
          <w:lang w:eastAsia="ko-KR"/>
        </w:rPr>
        <w:t>,</w:t>
      </w:r>
      <w:r>
        <w:rPr>
          <w:rFonts w:eastAsia="Calibri" w:cs="Arial"/>
          <w:bCs/>
          <w:sz w:val="22"/>
          <w:szCs w:val="22"/>
          <w:lang w:eastAsia="ko-KR"/>
        </w:rPr>
        <w:t xml:space="preserve"> the Option-1/2 may be considered as a baseline and</w:t>
      </w:r>
      <w:r w:rsidR="00A0529A">
        <w:rPr>
          <w:rFonts w:eastAsia="Calibri" w:cs="Arial"/>
          <w:bCs/>
          <w:sz w:val="22"/>
          <w:szCs w:val="22"/>
          <w:lang w:eastAsia="ko-KR"/>
        </w:rPr>
        <w:t xml:space="preserve"> further study </w:t>
      </w:r>
      <w:r>
        <w:rPr>
          <w:rFonts w:eastAsia="Calibri" w:cs="Arial"/>
          <w:bCs/>
          <w:sz w:val="22"/>
          <w:szCs w:val="22"/>
          <w:lang w:eastAsia="ko-KR"/>
        </w:rPr>
        <w:t>seems to be</w:t>
      </w:r>
      <w:r w:rsidR="00A0529A">
        <w:rPr>
          <w:rFonts w:eastAsia="Calibri" w:cs="Arial"/>
          <w:bCs/>
          <w:sz w:val="22"/>
          <w:szCs w:val="22"/>
          <w:lang w:eastAsia="ko-KR"/>
        </w:rPr>
        <w:t xml:space="preserve"> needed for the Option-3/4 to investigate the benefit and potential specification impacts, and whether the benefit could justify the potential standards efforts.</w:t>
      </w:r>
    </w:p>
    <w:p w14:paraId="76B18AF5" w14:textId="1B550453" w:rsidR="00A0529A" w:rsidRDefault="00A0529A" w:rsidP="00A0529A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050B1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25073D">
        <w:rPr>
          <w:rFonts w:eastAsia="Calibri" w:cs="Arial"/>
          <w:b/>
          <w:i/>
          <w:iCs/>
          <w:sz w:val="22"/>
          <w:szCs w:val="22"/>
        </w:rPr>
        <w:t>3</w:t>
      </w:r>
      <w:r w:rsidRPr="00E050B1">
        <w:rPr>
          <w:rFonts w:eastAsia="Calibri" w:cs="Arial"/>
          <w:b/>
          <w:i/>
          <w:iCs/>
          <w:sz w:val="22"/>
          <w:szCs w:val="22"/>
        </w:rPr>
        <w:t>:</w:t>
      </w:r>
      <w:r w:rsidRPr="00E050B1">
        <w:rPr>
          <w:rFonts w:eastAsia="Calibri" w:cs="Arial"/>
          <w:bCs/>
          <w:i/>
          <w:iCs/>
          <w:sz w:val="22"/>
          <w:szCs w:val="22"/>
        </w:rPr>
        <w:t xml:space="preserve"> </w:t>
      </w:r>
      <w:r>
        <w:rPr>
          <w:rFonts w:eastAsia="Calibri" w:cs="Arial"/>
          <w:bCs/>
          <w:i/>
          <w:iCs/>
          <w:sz w:val="22"/>
          <w:szCs w:val="22"/>
        </w:rPr>
        <w:t xml:space="preserve"> </w:t>
      </w:r>
      <w:r w:rsidR="00B03C97">
        <w:rPr>
          <w:rFonts w:eastAsia="Calibri" w:cs="Arial"/>
          <w:bCs/>
          <w:i/>
          <w:iCs/>
          <w:sz w:val="22"/>
          <w:szCs w:val="22"/>
        </w:rPr>
        <w:t xml:space="preserve">consider Option-1/2 as baseline and </w:t>
      </w:r>
      <w:r>
        <w:rPr>
          <w:rFonts w:eastAsia="Calibri" w:cs="Arial"/>
          <w:bCs/>
          <w:i/>
          <w:iCs/>
          <w:sz w:val="22"/>
          <w:szCs w:val="22"/>
        </w:rPr>
        <w:t>study further the Option-3/4 to identify the potential benefits and specification impacts</w:t>
      </w:r>
    </w:p>
    <w:p w14:paraId="59956297" w14:textId="68E15108" w:rsidR="0025073D" w:rsidRDefault="0025073D" w:rsidP="0025073D">
      <w:pPr>
        <w:pStyle w:val="Heading3"/>
      </w:pPr>
      <w:r>
        <w:t>BWP switching</w:t>
      </w:r>
    </w:p>
    <w:p w14:paraId="5B265BB3" w14:textId="63646012" w:rsidR="003C1923" w:rsidRDefault="00347F72" w:rsidP="00324B49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It has been discussed that frequency reuse factor (FRF) greater than 1 can be supported for NR NTN </w:t>
      </w:r>
      <w:proofErr w:type="gramStart"/>
      <w:r>
        <w:rPr>
          <w:rFonts w:eastAsia="Calibri" w:cs="Arial"/>
          <w:bCs/>
          <w:sz w:val="22"/>
          <w:szCs w:val="22"/>
        </w:rPr>
        <w:t>in order to</w:t>
      </w:r>
      <w:proofErr w:type="gramEnd"/>
      <w:r>
        <w:rPr>
          <w:rFonts w:eastAsia="Calibri" w:cs="Arial"/>
          <w:bCs/>
          <w:sz w:val="22"/>
          <w:szCs w:val="22"/>
        </w:rPr>
        <w:t xml:space="preserve"> reduce interference from </w:t>
      </w:r>
      <w:proofErr w:type="spellStart"/>
      <w:r>
        <w:rPr>
          <w:rFonts w:eastAsia="Calibri" w:cs="Arial"/>
          <w:bCs/>
          <w:sz w:val="22"/>
          <w:szCs w:val="22"/>
        </w:rPr>
        <w:t>neighboring</w:t>
      </w:r>
      <w:proofErr w:type="spellEnd"/>
      <w:r>
        <w:rPr>
          <w:rFonts w:eastAsia="Calibri" w:cs="Arial"/>
          <w:bCs/>
          <w:sz w:val="22"/>
          <w:szCs w:val="22"/>
        </w:rPr>
        <w:t xml:space="preserve"> beams. Since NR supports multiple bandwidth parts, each BWP can be associated with a beam which allows FRF&gt;1 as well as dynamic beam switching when necessary. Although NR introduced BWP concept to enable supporting multiple service types, power saving, etc., </w:t>
      </w:r>
      <w:r w:rsidR="00894412">
        <w:rPr>
          <w:rFonts w:eastAsia="Calibri" w:cs="Arial"/>
          <w:bCs/>
          <w:sz w:val="22"/>
          <w:szCs w:val="22"/>
        </w:rPr>
        <w:t xml:space="preserve">beam association with a BWP has not been supported. Note that beam can be changed dynamically within a BWP </w:t>
      </w:r>
      <w:r w:rsidR="0083388D">
        <w:rPr>
          <w:rFonts w:eastAsia="Calibri" w:cs="Arial"/>
          <w:bCs/>
          <w:sz w:val="22"/>
          <w:szCs w:val="22"/>
        </w:rPr>
        <w:t>with TCI indication</w:t>
      </w:r>
      <w:r w:rsidR="00894412">
        <w:rPr>
          <w:rFonts w:eastAsia="Calibri" w:cs="Arial"/>
          <w:bCs/>
          <w:sz w:val="22"/>
          <w:szCs w:val="22"/>
        </w:rPr>
        <w:t>.</w:t>
      </w:r>
    </w:p>
    <w:p w14:paraId="5D8C1BE3" w14:textId="004E52B0" w:rsidR="00DC53C9" w:rsidRDefault="00DC53C9" w:rsidP="00324B49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In RAN1 #104-e, a set of issues is </w:t>
      </w:r>
      <w:proofErr w:type="spellStart"/>
      <w:r>
        <w:rPr>
          <w:rFonts w:eastAsia="Calibri" w:cs="Arial"/>
          <w:bCs/>
          <w:sz w:val="22"/>
          <w:szCs w:val="22"/>
        </w:rPr>
        <w:t>dentified</w:t>
      </w:r>
      <w:proofErr w:type="spellEnd"/>
      <w:r>
        <w:rPr>
          <w:rFonts w:eastAsia="Calibri" w:cs="Arial"/>
          <w:bCs/>
          <w:sz w:val="22"/>
          <w:szCs w:val="22"/>
        </w:rPr>
        <w:t xml:space="preserve"> to discuss further when FRF&gt;1 is used including:</w:t>
      </w:r>
    </w:p>
    <w:p w14:paraId="57C6DB2A" w14:textId="03A8A8CB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 w:rsidRPr="00E74749">
        <w:rPr>
          <w:rFonts w:ascii="Arial" w:eastAsia="Calibri" w:hAnsi="Arial" w:cs="Arial"/>
          <w:bCs/>
        </w:rPr>
        <w:lastRenderedPageBreak/>
        <w:t xml:space="preserve">BWP </w:t>
      </w:r>
      <w:r>
        <w:rPr>
          <w:rFonts w:ascii="Arial" w:eastAsia="Calibri" w:hAnsi="Arial" w:cs="Arial"/>
          <w:bCs/>
        </w:rPr>
        <w:t>switch triggering when beam switch is triggered</w:t>
      </w:r>
    </w:p>
    <w:p w14:paraId="78601529" w14:textId="3E78A20A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Joint triggering DL/UL BWPs switch in FDD</w:t>
      </w:r>
    </w:p>
    <w:p w14:paraId="34ED2DC7" w14:textId="5EC41B2C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Necessity of BWP switch without data scheduling</w:t>
      </w:r>
    </w:p>
    <w:p w14:paraId="24534C70" w14:textId="1EDDFC69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Necessity of resynchronization after BWP switch</w:t>
      </w:r>
    </w:p>
    <w:p w14:paraId="452901EA" w14:textId="12078CAC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Support of the pre-configured BWP switch pattern</w:t>
      </w:r>
    </w:p>
    <w:p w14:paraId="46AC671E" w14:textId="685D227C" w:rsidR="00DC53C9" w:rsidRDefault="00DC53C9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How to handle BWP switching triggered by inactivity timer, RA procedure,</w:t>
      </w:r>
      <w:r w:rsidR="00A725F4">
        <w:rPr>
          <w:rFonts w:ascii="Arial" w:eastAsia="Calibri" w:hAnsi="Arial" w:cs="Arial"/>
          <w:bCs/>
        </w:rPr>
        <w:t xml:space="preserve"> </w:t>
      </w:r>
      <w:proofErr w:type="gramStart"/>
      <w:r w:rsidR="00A725F4">
        <w:rPr>
          <w:rFonts w:ascii="Arial" w:eastAsia="Calibri" w:hAnsi="Arial" w:cs="Arial"/>
          <w:bCs/>
        </w:rPr>
        <w:t>and etc.</w:t>
      </w:r>
      <w:proofErr w:type="gramEnd"/>
    </w:p>
    <w:p w14:paraId="5800DBFE" w14:textId="560ACF7D" w:rsidR="00A725F4" w:rsidRPr="00E74749" w:rsidRDefault="00A725F4" w:rsidP="00E74749">
      <w:pPr>
        <w:pStyle w:val="ListParagraph"/>
        <w:numPr>
          <w:ilvl w:val="0"/>
          <w:numId w:val="23"/>
        </w:numPr>
        <w:spacing w:line="276" w:lineRule="auto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Necessity of UE </w:t>
      </w:r>
      <w:proofErr w:type="gramStart"/>
      <w:r>
        <w:rPr>
          <w:rFonts w:ascii="Arial" w:eastAsia="Calibri" w:hAnsi="Arial" w:cs="Arial"/>
          <w:bCs/>
        </w:rPr>
        <w:t>group based</w:t>
      </w:r>
      <w:proofErr w:type="gramEnd"/>
      <w:r>
        <w:rPr>
          <w:rFonts w:ascii="Arial" w:eastAsia="Calibri" w:hAnsi="Arial" w:cs="Arial"/>
          <w:bCs/>
        </w:rPr>
        <w:t xml:space="preserve"> beam/BWP switching</w:t>
      </w:r>
    </w:p>
    <w:p w14:paraId="40294A2F" w14:textId="059E8797" w:rsidR="009F6550" w:rsidRDefault="009F6550" w:rsidP="00324B49">
      <w:pPr>
        <w:spacing w:line="276" w:lineRule="auto"/>
        <w:rPr>
          <w:rFonts w:eastAsia="Calibri" w:cs="Arial"/>
          <w:bCs/>
          <w:sz w:val="22"/>
          <w:szCs w:val="22"/>
        </w:rPr>
      </w:pPr>
      <w:r>
        <w:rPr>
          <w:rFonts w:eastAsia="Calibri" w:cs="Arial"/>
          <w:bCs/>
          <w:sz w:val="22"/>
          <w:szCs w:val="22"/>
        </w:rPr>
        <w:t xml:space="preserve">Among the listed issues above, only essential issues </w:t>
      </w:r>
      <w:proofErr w:type="gramStart"/>
      <w:r>
        <w:rPr>
          <w:rFonts w:eastAsia="Calibri" w:cs="Arial"/>
          <w:bCs/>
          <w:sz w:val="22"/>
          <w:szCs w:val="22"/>
        </w:rPr>
        <w:t>have to</w:t>
      </w:r>
      <w:proofErr w:type="gramEnd"/>
      <w:r>
        <w:rPr>
          <w:rFonts w:eastAsia="Calibri" w:cs="Arial"/>
          <w:bCs/>
          <w:sz w:val="22"/>
          <w:szCs w:val="22"/>
        </w:rPr>
        <w:t xml:space="preserve"> be discussed </w:t>
      </w:r>
      <w:r w:rsidR="004504CB">
        <w:rPr>
          <w:rFonts w:eastAsia="Calibri" w:cs="Arial"/>
          <w:bCs/>
          <w:sz w:val="22"/>
          <w:szCs w:val="22"/>
        </w:rPr>
        <w:t xml:space="preserve">further </w:t>
      </w:r>
      <w:r>
        <w:rPr>
          <w:rFonts w:eastAsia="Calibri" w:cs="Arial"/>
          <w:bCs/>
          <w:sz w:val="22"/>
          <w:szCs w:val="22"/>
        </w:rPr>
        <w:t xml:space="preserve">to support FRF&gt;1 if the group agree to support the FRF&gt;1 with one-to-one mapping between </w:t>
      </w:r>
      <w:r w:rsidR="004504CB">
        <w:rPr>
          <w:rFonts w:eastAsia="Calibri" w:cs="Arial"/>
          <w:bCs/>
          <w:sz w:val="22"/>
          <w:szCs w:val="22"/>
        </w:rPr>
        <w:t xml:space="preserve">a </w:t>
      </w:r>
      <w:r>
        <w:rPr>
          <w:rFonts w:eastAsia="Calibri" w:cs="Arial"/>
          <w:bCs/>
          <w:sz w:val="22"/>
          <w:szCs w:val="22"/>
        </w:rPr>
        <w:t xml:space="preserve">beam and </w:t>
      </w:r>
      <w:r w:rsidR="004504CB">
        <w:rPr>
          <w:rFonts w:eastAsia="Calibri" w:cs="Arial"/>
          <w:bCs/>
          <w:sz w:val="22"/>
          <w:szCs w:val="22"/>
        </w:rPr>
        <w:t xml:space="preserve">a </w:t>
      </w:r>
      <w:r>
        <w:rPr>
          <w:rFonts w:eastAsia="Calibri" w:cs="Arial"/>
          <w:bCs/>
          <w:sz w:val="22"/>
          <w:szCs w:val="22"/>
        </w:rPr>
        <w:t>BWP</w:t>
      </w:r>
      <w:r w:rsidR="004504CB">
        <w:rPr>
          <w:rFonts w:eastAsia="Calibri" w:cs="Arial"/>
          <w:bCs/>
          <w:sz w:val="22"/>
          <w:szCs w:val="22"/>
        </w:rPr>
        <w:t xml:space="preserve"> in Rel-17</w:t>
      </w:r>
      <w:r>
        <w:rPr>
          <w:rFonts w:eastAsia="Calibri" w:cs="Arial"/>
          <w:bCs/>
          <w:sz w:val="22"/>
          <w:szCs w:val="22"/>
        </w:rPr>
        <w:t xml:space="preserve">. For example, the issues 5 and 7 are not an essential feature to enable FRF&gt;1. At least the issues 1, 4, and 6 </w:t>
      </w:r>
      <w:proofErr w:type="gramStart"/>
      <w:r>
        <w:rPr>
          <w:rFonts w:eastAsia="Calibri" w:cs="Arial"/>
          <w:bCs/>
          <w:sz w:val="22"/>
          <w:szCs w:val="22"/>
        </w:rPr>
        <w:t>have to</w:t>
      </w:r>
      <w:proofErr w:type="gramEnd"/>
      <w:r>
        <w:rPr>
          <w:rFonts w:eastAsia="Calibri" w:cs="Arial"/>
          <w:bCs/>
          <w:sz w:val="22"/>
          <w:szCs w:val="22"/>
        </w:rPr>
        <w:t xml:space="preserve"> be discussed if FRF&gt;1 is supported in Rel-17.</w:t>
      </w:r>
    </w:p>
    <w:p w14:paraId="1AFB8DCE" w14:textId="3578590F" w:rsidR="009F6550" w:rsidRPr="008A175D" w:rsidRDefault="009F6550" w:rsidP="009F6550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8A175D">
        <w:rPr>
          <w:rFonts w:eastAsia="Calibri" w:cs="Arial"/>
          <w:b/>
          <w:i/>
          <w:iCs/>
          <w:sz w:val="22"/>
          <w:szCs w:val="22"/>
        </w:rPr>
        <w:t>Observation</w:t>
      </w:r>
      <w:r>
        <w:rPr>
          <w:rFonts w:eastAsia="Calibri" w:cs="Arial"/>
          <w:b/>
          <w:i/>
          <w:iCs/>
          <w:sz w:val="22"/>
          <w:szCs w:val="22"/>
        </w:rPr>
        <w:t xml:space="preserve"> </w:t>
      </w:r>
      <w:r w:rsidRPr="008A175D">
        <w:rPr>
          <w:rFonts w:eastAsia="Calibri" w:cs="Arial"/>
          <w:b/>
          <w:i/>
          <w:iCs/>
          <w:sz w:val="22"/>
          <w:szCs w:val="22"/>
        </w:rPr>
        <w:t>1:</w:t>
      </w:r>
      <w:r w:rsidRPr="008A175D">
        <w:rPr>
          <w:rFonts w:eastAsia="Calibri" w:cs="Arial"/>
          <w:bCs/>
          <w:i/>
          <w:iCs/>
          <w:sz w:val="22"/>
          <w:szCs w:val="22"/>
        </w:rPr>
        <w:t xml:space="preserve"> </w:t>
      </w:r>
      <w:r>
        <w:rPr>
          <w:rFonts w:eastAsia="Calibri" w:cs="Arial"/>
          <w:bCs/>
          <w:i/>
          <w:iCs/>
          <w:sz w:val="22"/>
          <w:szCs w:val="22"/>
        </w:rPr>
        <w:t>non-essential issues to enable FRF&gt;1 should be down-prioritized in Rel-17</w:t>
      </w:r>
      <w:r w:rsidR="00835768">
        <w:rPr>
          <w:rFonts w:eastAsia="Calibri" w:cs="Arial"/>
          <w:bCs/>
          <w:i/>
          <w:iCs/>
          <w:sz w:val="22"/>
          <w:szCs w:val="22"/>
        </w:rPr>
        <w:t xml:space="preserve"> if FRF&gt;1 is supported in Rel-17</w:t>
      </w:r>
    </w:p>
    <w:p w14:paraId="1D642EEC" w14:textId="60245E7E" w:rsidR="00461D37" w:rsidRPr="00E74749" w:rsidRDefault="0083388D" w:rsidP="00324B49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74749">
        <w:rPr>
          <w:rFonts w:eastAsia="Calibri" w:cs="Arial"/>
          <w:b/>
          <w:i/>
          <w:iCs/>
          <w:sz w:val="22"/>
          <w:szCs w:val="22"/>
        </w:rPr>
        <w:t>Proposal 4:</w:t>
      </w:r>
      <w:r w:rsidRPr="00E74749">
        <w:rPr>
          <w:rFonts w:eastAsia="Calibri" w:cs="Arial"/>
          <w:bCs/>
          <w:i/>
          <w:iCs/>
          <w:sz w:val="22"/>
          <w:szCs w:val="22"/>
        </w:rPr>
        <w:t xml:space="preserve"> if FRF&gt;1 is supported in Rel-17, RAN1 should focus on only essential issues</w:t>
      </w:r>
      <w:r w:rsidR="008955AA">
        <w:rPr>
          <w:rFonts w:eastAsia="Calibri" w:cs="Arial"/>
          <w:bCs/>
          <w:i/>
          <w:iCs/>
          <w:sz w:val="22"/>
          <w:szCs w:val="22"/>
        </w:rPr>
        <w:t xml:space="preserve"> (e.g., Issues 1, 4, and 6)</w:t>
      </w:r>
      <w:r w:rsidRPr="00E74749">
        <w:rPr>
          <w:rFonts w:eastAsia="Calibri" w:cs="Arial"/>
          <w:bCs/>
          <w:i/>
          <w:iCs/>
          <w:sz w:val="22"/>
          <w:szCs w:val="22"/>
        </w:rPr>
        <w:t xml:space="preserve"> to enable FRF&gt;1.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4665613" w:rsidR="00E013C6" w:rsidRPr="000F21E9" w:rsidRDefault="00214E6A" w:rsidP="00C6277A">
      <w:pPr>
        <w:tabs>
          <w:tab w:val="left" w:pos="0"/>
        </w:tabs>
        <w:rPr>
          <w:sz w:val="22"/>
        </w:rPr>
      </w:pPr>
      <w:r w:rsidRPr="000F21E9">
        <w:rPr>
          <w:sz w:val="22"/>
        </w:rPr>
        <w:t xml:space="preserve">In this contribution the following observations and proposals were made concerning </w:t>
      </w:r>
      <w:r w:rsidR="00827AF6">
        <w:rPr>
          <w:sz w:val="22"/>
        </w:rPr>
        <w:t>beam management</w:t>
      </w:r>
      <w:r w:rsidR="000D1CD0" w:rsidRPr="000F21E9">
        <w:rPr>
          <w:sz w:val="22"/>
        </w:rPr>
        <w:t xml:space="preserve"> in NTN:</w:t>
      </w:r>
    </w:p>
    <w:p w14:paraId="2819A7CC" w14:textId="77777777" w:rsidR="001B4722" w:rsidRPr="008A175D" w:rsidRDefault="001B4722" w:rsidP="001B4722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8A175D">
        <w:rPr>
          <w:rFonts w:eastAsia="Calibri" w:cs="Arial"/>
          <w:b/>
          <w:i/>
          <w:iCs/>
          <w:sz w:val="22"/>
          <w:szCs w:val="22"/>
        </w:rPr>
        <w:t>Observation</w:t>
      </w:r>
      <w:r>
        <w:rPr>
          <w:rFonts w:eastAsia="Calibri" w:cs="Arial"/>
          <w:b/>
          <w:i/>
          <w:iCs/>
          <w:sz w:val="22"/>
          <w:szCs w:val="22"/>
        </w:rPr>
        <w:t xml:space="preserve"> </w:t>
      </w:r>
      <w:r w:rsidRPr="008A175D">
        <w:rPr>
          <w:rFonts w:eastAsia="Calibri" w:cs="Arial"/>
          <w:b/>
          <w:i/>
          <w:iCs/>
          <w:sz w:val="22"/>
          <w:szCs w:val="22"/>
        </w:rPr>
        <w:t>1:</w:t>
      </w:r>
      <w:r w:rsidRPr="008A175D">
        <w:rPr>
          <w:rFonts w:eastAsia="Calibri" w:cs="Arial"/>
          <w:bCs/>
          <w:i/>
          <w:iCs/>
          <w:sz w:val="22"/>
          <w:szCs w:val="22"/>
        </w:rPr>
        <w:t xml:space="preserve"> </w:t>
      </w:r>
      <w:r>
        <w:rPr>
          <w:rFonts w:eastAsia="Calibri" w:cs="Arial"/>
          <w:bCs/>
          <w:i/>
          <w:iCs/>
          <w:sz w:val="22"/>
          <w:szCs w:val="22"/>
        </w:rPr>
        <w:t>non-essential issues to enable FRF&gt;1 should be down-prioritized in Rel-17 if FRF&gt;1 is supported in Rel-17</w:t>
      </w:r>
    </w:p>
    <w:p w14:paraId="0E23722C" w14:textId="6C828936" w:rsidR="00827AF6" w:rsidRPr="00E050B1" w:rsidRDefault="00827AF6" w:rsidP="00827AF6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050B1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1B4722">
        <w:rPr>
          <w:rFonts w:eastAsia="Calibri" w:cs="Arial"/>
          <w:b/>
          <w:i/>
          <w:iCs/>
          <w:sz w:val="22"/>
          <w:szCs w:val="22"/>
        </w:rPr>
        <w:t>1</w:t>
      </w:r>
      <w:r w:rsidRPr="00E050B1">
        <w:rPr>
          <w:rFonts w:eastAsia="Calibri" w:cs="Arial"/>
          <w:b/>
          <w:i/>
          <w:iCs/>
          <w:sz w:val="22"/>
          <w:szCs w:val="22"/>
        </w:rPr>
        <w:t>:</w:t>
      </w:r>
      <w:r w:rsidRPr="00E050B1">
        <w:rPr>
          <w:rFonts w:eastAsia="Calibri" w:cs="Arial"/>
          <w:bCs/>
          <w:i/>
          <w:iCs/>
          <w:sz w:val="22"/>
          <w:szCs w:val="22"/>
        </w:rPr>
        <w:t xml:space="preserve"> consider different BWP allocation per beam as baseline when multiple beams per cell are used</w:t>
      </w:r>
    </w:p>
    <w:p w14:paraId="22525541" w14:textId="66D6D2B4" w:rsidR="00827AF6" w:rsidRDefault="00827AF6" w:rsidP="00827AF6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050B1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1B4722">
        <w:rPr>
          <w:rFonts w:eastAsia="Calibri" w:cs="Arial"/>
          <w:b/>
          <w:i/>
          <w:iCs/>
          <w:sz w:val="22"/>
          <w:szCs w:val="22"/>
        </w:rPr>
        <w:t>2</w:t>
      </w:r>
      <w:r w:rsidRPr="00E050B1">
        <w:rPr>
          <w:rFonts w:eastAsia="Calibri" w:cs="Arial"/>
          <w:b/>
          <w:i/>
          <w:iCs/>
          <w:sz w:val="22"/>
          <w:szCs w:val="22"/>
        </w:rPr>
        <w:t>:</w:t>
      </w:r>
      <w:r w:rsidRPr="00E050B1">
        <w:rPr>
          <w:rFonts w:eastAsia="Calibri" w:cs="Arial"/>
          <w:bCs/>
          <w:i/>
          <w:iCs/>
          <w:sz w:val="22"/>
          <w:szCs w:val="22"/>
        </w:rPr>
        <w:t xml:space="preserve"> </w:t>
      </w:r>
      <w:r>
        <w:rPr>
          <w:rFonts w:eastAsia="Calibri" w:cs="Arial"/>
          <w:bCs/>
          <w:i/>
          <w:iCs/>
          <w:sz w:val="22"/>
          <w:szCs w:val="22"/>
        </w:rPr>
        <w:t xml:space="preserve"> study a mechanism to reduce the time gap to measure </w:t>
      </w:r>
      <w:proofErr w:type="spellStart"/>
      <w:r>
        <w:rPr>
          <w:rFonts w:eastAsia="Calibri" w:cs="Arial"/>
          <w:bCs/>
          <w:i/>
          <w:iCs/>
          <w:sz w:val="22"/>
          <w:szCs w:val="22"/>
        </w:rPr>
        <w:t>neighboring</w:t>
      </w:r>
      <w:proofErr w:type="spellEnd"/>
      <w:r>
        <w:rPr>
          <w:rFonts w:eastAsia="Calibri" w:cs="Arial"/>
          <w:bCs/>
          <w:i/>
          <w:iCs/>
          <w:sz w:val="22"/>
          <w:szCs w:val="22"/>
        </w:rPr>
        <w:t xml:space="preserve"> beams when frequency reuse is used for multiple beams in a cell</w:t>
      </w:r>
    </w:p>
    <w:p w14:paraId="247FC7D7" w14:textId="5A5E276B" w:rsidR="00B03C97" w:rsidRDefault="00B03C97" w:rsidP="00B03C97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E050B1">
        <w:rPr>
          <w:rFonts w:eastAsia="Calibri" w:cs="Arial"/>
          <w:b/>
          <w:i/>
          <w:iCs/>
          <w:sz w:val="22"/>
          <w:szCs w:val="22"/>
        </w:rPr>
        <w:t xml:space="preserve">Proposal </w:t>
      </w:r>
      <w:r w:rsidR="001B4722">
        <w:rPr>
          <w:rFonts w:eastAsia="Calibri" w:cs="Arial"/>
          <w:b/>
          <w:i/>
          <w:iCs/>
          <w:sz w:val="22"/>
          <w:szCs w:val="22"/>
        </w:rPr>
        <w:t>3</w:t>
      </w:r>
      <w:r w:rsidRPr="00E050B1">
        <w:rPr>
          <w:rFonts w:eastAsia="Calibri" w:cs="Arial"/>
          <w:b/>
          <w:i/>
          <w:iCs/>
          <w:sz w:val="22"/>
          <w:szCs w:val="22"/>
        </w:rPr>
        <w:t>:</w:t>
      </w:r>
      <w:r w:rsidRPr="00E050B1">
        <w:rPr>
          <w:rFonts w:eastAsia="Calibri" w:cs="Arial"/>
          <w:bCs/>
          <w:i/>
          <w:iCs/>
          <w:sz w:val="22"/>
          <w:szCs w:val="22"/>
        </w:rPr>
        <w:t xml:space="preserve"> </w:t>
      </w:r>
      <w:r>
        <w:rPr>
          <w:rFonts w:eastAsia="Calibri" w:cs="Arial"/>
          <w:bCs/>
          <w:i/>
          <w:iCs/>
          <w:sz w:val="22"/>
          <w:szCs w:val="22"/>
        </w:rPr>
        <w:t xml:space="preserve"> consider Option-1/2 as baseline and study further the Option-3/4 to identify the potential benefits and specification impacts</w:t>
      </w:r>
    </w:p>
    <w:p w14:paraId="6D1D9BD7" w14:textId="365B83A8" w:rsidR="001B4722" w:rsidRDefault="001B4722" w:rsidP="00B03C97">
      <w:pPr>
        <w:spacing w:line="276" w:lineRule="auto"/>
        <w:rPr>
          <w:rFonts w:eastAsia="Calibri" w:cs="Arial"/>
          <w:bCs/>
          <w:i/>
          <w:iCs/>
          <w:sz w:val="22"/>
          <w:szCs w:val="22"/>
        </w:rPr>
      </w:pPr>
      <w:r w:rsidRPr="008A175D">
        <w:rPr>
          <w:rFonts w:eastAsia="Calibri" w:cs="Arial"/>
          <w:b/>
          <w:i/>
          <w:iCs/>
          <w:sz w:val="22"/>
          <w:szCs w:val="22"/>
        </w:rPr>
        <w:t>Proposal 4:</w:t>
      </w:r>
      <w:r w:rsidRPr="008A175D">
        <w:rPr>
          <w:rFonts w:eastAsia="Calibri" w:cs="Arial"/>
          <w:bCs/>
          <w:i/>
          <w:iCs/>
          <w:sz w:val="22"/>
          <w:szCs w:val="22"/>
        </w:rPr>
        <w:t xml:space="preserve"> if FRF&gt;1 is supported in Rel-17, RAN1 should focus on only essential issues to enable FRF&gt;1</w:t>
      </w:r>
    </w:p>
    <w:p w14:paraId="377E0382" w14:textId="77777777" w:rsidR="00214E6A" w:rsidRPr="004A1A95" w:rsidRDefault="00214E6A" w:rsidP="00214E6A">
      <w:pPr>
        <w:pStyle w:val="Heading1"/>
      </w:pPr>
      <w:r w:rsidRPr="004A1A95">
        <w:t>References</w:t>
      </w:r>
    </w:p>
    <w:p w14:paraId="59EF3B2F" w14:textId="77777777" w:rsidR="00E60A1B" w:rsidRPr="008924A3" w:rsidRDefault="00E60A1B" w:rsidP="00E60A1B">
      <w:pPr>
        <w:pStyle w:val="ListParagraph"/>
        <w:numPr>
          <w:ilvl w:val="0"/>
          <w:numId w:val="15"/>
        </w:numPr>
        <w:spacing w:before="120"/>
        <w:jc w:val="both"/>
        <w:rPr>
          <w:rFonts w:ascii="Arial" w:hAnsi="Arial" w:cs="Arial"/>
        </w:rPr>
      </w:pPr>
      <w:bookmarkStart w:id="1" w:name="_Ref521518965"/>
      <w:r w:rsidRPr="008924A3">
        <w:rPr>
          <w:rFonts w:ascii="Arial" w:hAnsi="Arial" w:cs="Arial"/>
        </w:rPr>
        <w:t>RP-193234, “Solutions for NR to support non-terrestrial networks (NTN)”, Thales</w:t>
      </w:r>
    </w:p>
    <w:p w14:paraId="2265B772" w14:textId="691B2084" w:rsidR="00697E1B" w:rsidRPr="00534B3E" w:rsidRDefault="00E60A1B" w:rsidP="00E74749">
      <w:pPr>
        <w:pStyle w:val="ListParagraph"/>
        <w:numPr>
          <w:ilvl w:val="0"/>
          <w:numId w:val="15"/>
        </w:numPr>
        <w:spacing w:before="120"/>
        <w:jc w:val="both"/>
      </w:pPr>
      <w:r w:rsidRPr="008924A3">
        <w:rPr>
          <w:rFonts w:ascii="Arial" w:hAnsi="Arial" w:cs="Arial"/>
        </w:rPr>
        <w:t>3GPP TR38.821 V16.0.0, “Solutions for NR to support non-terrestrial networks (NTN)”</w:t>
      </w:r>
      <w:bookmarkEnd w:id="1"/>
    </w:p>
    <w:sectPr w:rsidR="00697E1B" w:rsidRPr="00534B3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8EFF5" w14:textId="77777777" w:rsidR="0063295F" w:rsidRDefault="0063295F">
      <w:pPr>
        <w:spacing w:after="0"/>
      </w:pPr>
      <w:r>
        <w:separator/>
      </w:r>
    </w:p>
  </w:endnote>
  <w:endnote w:type="continuationSeparator" w:id="0">
    <w:p w14:paraId="63DE135E" w14:textId="77777777" w:rsidR="0063295F" w:rsidRDefault="00632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CB642D" w:rsidRDefault="00214E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F3B3C" w14:textId="77777777" w:rsidR="0063295F" w:rsidRDefault="0063295F">
      <w:pPr>
        <w:spacing w:after="0"/>
      </w:pPr>
      <w:r>
        <w:separator/>
      </w:r>
    </w:p>
  </w:footnote>
  <w:footnote w:type="continuationSeparator" w:id="0">
    <w:p w14:paraId="1133DB8F" w14:textId="77777777" w:rsidR="0063295F" w:rsidRDefault="00632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26A44"/>
    <w:multiLevelType w:val="hybridMultilevel"/>
    <w:tmpl w:val="FF3A1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4A4163"/>
    <w:multiLevelType w:val="hybridMultilevel"/>
    <w:tmpl w:val="4CE20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2C7D"/>
    <w:multiLevelType w:val="hybridMultilevel"/>
    <w:tmpl w:val="F578A3B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80C02"/>
    <w:multiLevelType w:val="hybridMultilevel"/>
    <w:tmpl w:val="B1F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3002A"/>
    <w:multiLevelType w:val="hybridMultilevel"/>
    <w:tmpl w:val="69AC4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520A9"/>
    <w:multiLevelType w:val="hybridMultilevel"/>
    <w:tmpl w:val="45FE9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22"/>
  </w:num>
  <w:num w:numId="5">
    <w:abstractNumId w:val="6"/>
  </w:num>
  <w:num w:numId="6">
    <w:abstractNumId w:val="20"/>
  </w:num>
  <w:num w:numId="7">
    <w:abstractNumId w:val="15"/>
  </w:num>
  <w:num w:numId="8">
    <w:abstractNumId w:val="0"/>
  </w:num>
  <w:num w:numId="9">
    <w:abstractNumId w:val="18"/>
  </w:num>
  <w:num w:numId="10">
    <w:abstractNumId w:val="19"/>
  </w:num>
  <w:num w:numId="11">
    <w:abstractNumId w:val="11"/>
  </w:num>
  <w:num w:numId="12">
    <w:abstractNumId w:val="5"/>
  </w:num>
  <w:num w:numId="13">
    <w:abstractNumId w:val="7"/>
  </w:num>
  <w:num w:numId="14">
    <w:abstractNumId w:val="4"/>
  </w:num>
  <w:num w:numId="15">
    <w:abstractNumId w:val="8"/>
  </w:num>
  <w:num w:numId="16">
    <w:abstractNumId w:val="13"/>
  </w:num>
  <w:num w:numId="17">
    <w:abstractNumId w:val="3"/>
  </w:num>
  <w:num w:numId="18">
    <w:abstractNumId w:val="9"/>
  </w:num>
  <w:num w:numId="19">
    <w:abstractNumId w:val="17"/>
  </w:num>
  <w:num w:numId="20">
    <w:abstractNumId w:val="10"/>
  </w:num>
  <w:num w:numId="21">
    <w:abstractNumId w:val="16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1445"/>
    <w:rsid w:val="00013648"/>
    <w:rsid w:val="000600DC"/>
    <w:rsid w:val="00061F39"/>
    <w:rsid w:val="00064052"/>
    <w:rsid w:val="000674C7"/>
    <w:rsid w:val="0008793C"/>
    <w:rsid w:val="00087E45"/>
    <w:rsid w:val="00090FD9"/>
    <w:rsid w:val="00091494"/>
    <w:rsid w:val="000B3CE8"/>
    <w:rsid w:val="000B3F22"/>
    <w:rsid w:val="000B6BB1"/>
    <w:rsid w:val="000D1CD0"/>
    <w:rsid w:val="000F21E9"/>
    <w:rsid w:val="00142DE2"/>
    <w:rsid w:val="00143787"/>
    <w:rsid w:val="00166C9B"/>
    <w:rsid w:val="001965BA"/>
    <w:rsid w:val="001B4722"/>
    <w:rsid w:val="001C59D8"/>
    <w:rsid w:val="00214E6A"/>
    <w:rsid w:val="00225F54"/>
    <w:rsid w:val="002471D9"/>
    <w:rsid w:val="0024763F"/>
    <w:rsid w:val="0025073D"/>
    <w:rsid w:val="002676F9"/>
    <w:rsid w:val="00281912"/>
    <w:rsid w:val="00283DB7"/>
    <w:rsid w:val="002A067C"/>
    <w:rsid w:val="002B026A"/>
    <w:rsid w:val="002C4C84"/>
    <w:rsid w:val="002C7497"/>
    <w:rsid w:val="002D3C8A"/>
    <w:rsid w:val="002F3704"/>
    <w:rsid w:val="002F7E3F"/>
    <w:rsid w:val="00303C9C"/>
    <w:rsid w:val="003070E8"/>
    <w:rsid w:val="003240E9"/>
    <w:rsid w:val="00324B49"/>
    <w:rsid w:val="00330B3E"/>
    <w:rsid w:val="00335629"/>
    <w:rsid w:val="003456EF"/>
    <w:rsid w:val="00347F72"/>
    <w:rsid w:val="00383D4F"/>
    <w:rsid w:val="0039750E"/>
    <w:rsid w:val="003A2C98"/>
    <w:rsid w:val="003C1923"/>
    <w:rsid w:val="003D2B16"/>
    <w:rsid w:val="004040A2"/>
    <w:rsid w:val="00404C76"/>
    <w:rsid w:val="00435BAC"/>
    <w:rsid w:val="00440C2E"/>
    <w:rsid w:val="004504CB"/>
    <w:rsid w:val="00451891"/>
    <w:rsid w:val="00461D37"/>
    <w:rsid w:val="004738A5"/>
    <w:rsid w:val="004E08DF"/>
    <w:rsid w:val="004E32A3"/>
    <w:rsid w:val="00526FD1"/>
    <w:rsid w:val="00534B3E"/>
    <w:rsid w:val="005546C1"/>
    <w:rsid w:val="00572EDB"/>
    <w:rsid w:val="005817E8"/>
    <w:rsid w:val="0058637E"/>
    <w:rsid w:val="005C1BAB"/>
    <w:rsid w:val="005F4760"/>
    <w:rsid w:val="0061085E"/>
    <w:rsid w:val="00626355"/>
    <w:rsid w:val="006319F9"/>
    <w:rsid w:val="0063295F"/>
    <w:rsid w:val="00642F4B"/>
    <w:rsid w:val="00695E9D"/>
    <w:rsid w:val="00697E1B"/>
    <w:rsid w:val="006A0172"/>
    <w:rsid w:val="006F02C5"/>
    <w:rsid w:val="0070274C"/>
    <w:rsid w:val="0070783F"/>
    <w:rsid w:val="00710564"/>
    <w:rsid w:val="00721025"/>
    <w:rsid w:val="00774669"/>
    <w:rsid w:val="00782864"/>
    <w:rsid w:val="00791C04"/>
    <w:rsid w:val="007B4EAD"/>
    <w:rsid w:val="007C4E5D"/>
    <w:rsid w:val="007F08C6"/>
    <w:rsid w:val="007F30FF"/>
    <w:rsid w:val="008167F5"/>
    <w:rsid w:val="008237B8"/>
    <w:rsid w:val="00827AF6"/>
    <w:rsid w:val="0083388D"/>
    <w:rsid w:val="00835768"/>
    <w:rsid w:val="00894412"/>
    <w:rsid w:val="008955AA"/>
    <w:rsid w:val="008C0C61"/>
    <w:rsid w:val="008F5A4A"/>
    <w:rsid w:val="009303A9"/>
    <w:rsid w:val="009339C3"/>
    <w:rsid w:val="00960733"/>
    <w:rsid w:val="009F6550"/>
    <w:rsid w:val="00A0529A"/>
    <w:rsid w:val="00A24FC0"/>
    <w:rsid w:val="00A725F4"/>
    <w:rsid w:val="00A95BF6"/>
    <w:rsid w:val="00AB5C41"/>
    <w:rsid w:val="00AC0FB7"/>
    <w:rsid w:val="00AC1B18"/>
    <w:rsid w:val="00AC211F"/>
    <w:rsid w:val="00AC76A8"/>
    <w:rsid w:val="00AD7E3B"/>
    <w:rsid w:val="00AF2AFB"/>
    <w:rsid w:val="00B00581"/>
    <w:rsid w:val="00B03C97"/>
    <w:rsid w:val="00B414B8"/>
    <w:rsid w:val="00B642AA"/>
    <w:rsid w:val="00B652F5"/>
    <w:rsid w:val="00B854AD"/>
    <w:rsid w:val="00BD1ADF"/>
    <w:rsid w:val="00BD435D"/>
    <w:rsid w:val="00BE3ABB"/>
    <w:rsid w:val="00BE5E9F"/>
    <w:rsid w:val="00BE6342"/>
    <w:rsid w:val="00C5021B"/>
    <w:rsid w:val="00C53F50"/>
    <w:rsid w:val="00C6277A"/>
    <w:rsid w:val="00CA5205"/>
    <w:rsid w:val="00CD05AE"/>
    <w:rsid w:val="00CD556B"/>
    <w:rsid w:val="00D52628"/>
    <w:rsid w:val="00D62C03"/>
    <w:rsid w:val="00D91E82"/>
    <w:rsid w:val="00DA1030"/>
    <w:rsid w:val="00DB5942"/>
    <w:rsid w:val="00DC27C8"/>
    <w:rsid w:val="00DC53C9"/>
    <w:rsid w:val="00E013C6"/>
    <w:rsid w:val="00E20F98"/>
    <w:rsid w:val="00E225AC"/>
    <w:rsid w:val="00E30291"/>
    <w:rsid w:val="00E34132"/>
    <w:rsid w:val="00E36AD3"/>
    <w:rsid w:val="00E50B7C"/>
    <w:rsid w:val="00E5386D"/>
    <w:rsid w:val="00E60A1B"/>
    <w:rsid w:val="00E633F1"/>
    <w:rsid w:val="00E74749"/>
    <w:rsid w:val="00EB5786"/>
    <w:rsid w:val="00EB6B0E"/>
    <w:rsid w:val="00EC61DF"/>
    <w:rsid w:val="00ED3E53"/>
    <w:rsid w:val="00ED5307"/>
    <w:rsid w:val="00EF6B55"/>
    <w:rsid w:val="00F00A92"/>
    <w:rsid w:val="00FA29D0"/>
    <w:rsid w:val="00FD7468"/>
    <w:rsid w:val="00FF5766"/>
    <w:rsid w:val="354CD241"/>
    <w:rsid w:val="76DC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styleId="BalloonText">
    <w:name w:val="Balloon Text"/>
    <w:basedOn w:val="Normal"/>
    <w:link w:val="BalloonTextChar"/>
    <w:uiPriority w:val="99"/>
    <w:semiHidden/>
    <w:unhideWhenUsed/>
    <w:rsid w:val="00D91E82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E82"/>
    <w:rPr>
      <w:rFonts w:ascii="Times New Roman" w:eastAsia="Times New Roman" w:hAnsi="Times New Roman" w:cs="Times New Roman"/>
      <w:sz w:val="18"/>
      <w:szCs w:val="1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F6B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B55"/>
  </w:style>
  <w:style w:type="character" w:customStyle="1" w:styleId="CommentTextChar">
    <w:name w:val="Comment Text Char"/>
    <w:basedOn w:val="DefaultParagraphFont"/>
    <w:link w:val="CommentText"/>
    <w:uiPriority w:val="99"/>
    <w:rsid w:val="00EF6B5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B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B55"/>
    <w:rPr>
      <w:rFonts w:ascii="Arial" w:eastAsia="Times New Roman" w:hAnsi="Arial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77E761-7190-48C1-9170-A29FC39F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문일 이</cp:lastModifiedBy>
  <cp:revision>3</cp:revision>
  <dcterms:created xsi:type="dcterms:W3CDTF">2021-05-11T22:58:00Z</dcterms:created>
  <dcterms:modified xsi:type="dcterms:W3CDTF">2021-05-11T22:58:00Z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